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每日健康监测记录表</w:t>
      </w:r>
    </w:p>
    <w:p>
      <w:pPr>
        <w:jc w:val="left"/>
        <w:rPr>
          <w:rFonts w:eastAsia="仿宋_GB2312"/>
          <w:sz w:val="15"/>
          <w:szCs w:val="15"/>
        </w:rPr>
      </w:pPr>
      <w:r>
        <w:rPr>
          <w:rFonts w:eastAsia="仿宋_GB2312"/>
          <w:sz w:val="32"/>
          <w:szCs w:val="32"/>
        </w:rPr>
        <w:t xml:space="preserve">姓名：     性别：     年龄：    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联系电话：               </w:t>
      </w:r>
    </w:p>
    <w:tbl>
      <w:tblPr>
        <w:tblStyle w:val="3"/>
        <w:tblW w:w="49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217"/>
        <w:gridCol w:w="2219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8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日期</w:t>
            </w:r>
          </w:p>
        </w:tc>
        <w:tc>
          <w:tcPr>
            <w:tcW w:w="2635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体温℃</w:t>
            </w:r>
          </w:p>
        </w:tc>
        <w:tc>
          <w:tcPr>
            <w:tcW w:w="1216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48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早（具体时间）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晚（具体时间）</w:t>
            </w:r>
          </w:p>
        </w:tc>
        <w:tc>
          <w:tcPr>
            <w:tcW w:w="1216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注：1.“体温”为水银温度计腋下温度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2.其他症状填写相应情况：包括寒战、咳嗽、咳痰、咽痛、打喷嚏、流涕、鼻塞、头痛、乏力、嗅觉减退或消失、肌肉酸痛、关节酸痛、气促、呼吸困难、胸闷、结膜充血、恶心、呕吐、腹泻、皮疹、黄疸等或无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3.有上述症状应及时向本单位报告，未排除传染病者或存在其他身体不适者不得参会。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 xml:space="preserve"> 填报人：</w:t>
      </w:r>
    </w:p>
    <w:p>
      <w:pPr>
        <w:widowControl/>
        <w:spacing w:line="560" w:lineRule="exact"/>
        <w:jc w:val="left"/>
        <w:rPr>
          <w:rFonts w:hint="eastAsia" w:ascii="方正小标宋简体" w:hAnsi="Times New Roman" w:eastAsia="方正小标宋简体" w:cs="Times New Roman"/>
          <w:sz w:val="44"/>
          <w:szCs w:val="44"/>
          <w:lang w:val="en" w:eastAsia="zh-CN"/>
        </w:rPr>
      </w:pPr>
      <w:r>
        <w:rPr>
          <w:rFonts w:hint="eastAsia" w:eastAsia="仿宋_GB2312"/>
          <w:sz w:val="32"/>
          <w:szCs w:val="32"/>
        </w:rPr>
        <w:t xml:space="preserve">                                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NWQ4YzExZmU2YjkwODdhZjdkODU2Y2U4N2Y2MzQifQ=="/>
  </w:docVars>
  <w:rsids>
    <w:rsidRoot w:val="42B7407B"/>
    <w:rsid w:val="42B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5"/>
      <w:szCs w:val="25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2022-09-14T01:56:00Z</dcterms:created>
  <dc:creator>仁上·刘容境·刘晓晨</dc:creator>
  <cp:lastModifiedBy>仁上·刘容境·刘晓晨</cp:lastModifiedBy>
  <dcterms:modified xsi:type="dcterms:W3CDTF">2022-09-14T01:56:50Z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6C693F44159248FE94CC85688788CB2F</vt:lpwstr>
  </property>
</Properties>
</file>