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“体彩杯”天津市第九届市民运动会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空手道比赛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一、主办单位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天津市体育局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天津市体育总会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二、承办单位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执行单位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天津市举重摔跤柔道拳击跆拳道运动管理中心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举办时间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、地点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举办日期：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16日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至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20日</w:t>
      </w:r>
    </w:p>
    <w:p>
      <w:pPr>
        <w:adjustRightInd w:val="0"/>
        <w:spacing w:line="560" w:lineRule="exact"/>
        <w:ind w:firstLine="640" w:firstLineChars="200"/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举办地点：天津市奥林匹克中心体育馆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eastAsia="zh-CN"/>
        </w:rPr>
        <w:t>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bookmarkStart w:id="0" w:name="_Hlk58798167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）男子：组手-55公斤级、组手-61公斤级、组手-68公斤级、组手-76公斤级、组手+76公斤级、个人型、团体型、团体组手、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男女混合团体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）女子：组手-48公斤级、组手-53公斤级、组手-59公斤级、组手+59公斤级、 个人型、团体型、团体组手、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男女混合团体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型</w:t>
      </w:r>
    </w:p>
    <w:bookmarkEnd w:id="0"/>
    <w:p>
      <w:pPr>
        <w:spacing w:line="560" w:lineRule="exact"/>
        <w:ind w:firstLine="640" w:firstLineChars="200"/>
        <w:rPr>
          <w:rFonts w:ascii="宋体" w:hAnsi="宋体" w:cs="宋体"/>
          <w:b/>
          <w:bCs/>
          <w:color w:val="333333"/>
          <w:spacing w:val="12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五、竞赛分组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成人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组：197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年1月1日后出生至200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年12月31日；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-16岁组：200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年1月1日-200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年12月31日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市各委、办、局、人民团体、行业体协、区、高校（在职职工）、国有企业（总公司）及外资企业以及其他社会组织。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参赛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（一）应具有天津市户籍或连续在本市工作、学习、生活满3个月以上，年龄在16岁以上的中外籍人士均可在所在单位、所在组织报名参赛；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）身体健康，具有所参赛项目应具备的身体条件及运动能力；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参赛队（者）须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强化安全防范意识，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所有参赛者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须办理比赛期间的意外人身伤害保险，签字认可《参赛声明书》，比赛中若发生人身伤害事故由代表单位和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）每一项目每名运动员只能代表一个单位或组织参加比赛；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）市优秀运动队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的现役运动员、市体育运动学校的学生不得参加本人所注册项目的比赛；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）与其它赛事合并进行的项目可互认参赛资格。</w:t>
      </w:r>
    </w:p>
    <w:p>
      <w:pPr>
        <w:ind w:firstLine="640" w:firstLineChars="200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highlight w:val="none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、报名和报到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一）报名要求  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1.领队:1名，负责本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次赛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期间相关事宜的责任人。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2.教练员:1-4名，须有运动员参加本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比赛，并由参赛单位审核教练员资格方可报名。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3.运动员：每个级别报名人数不限（报名顺序按照级别从小到大报名）。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团体型：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一个代表队最多可以报1组，每组上场3人。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团体组手：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一个代表队最多可以报1组，女子每队报名2-4人，（上场运动员至少2个不同级别），男子每队报名3-6人（上场运动员至少要3个不同级别）。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男女混合团体型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比赛人数为6人，每队每组限报一队（每队至少1名男生或1名女生，演练基础型1-5）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每名运动员可兼报个人小项和团体小项。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参赛单位须认真填写大会统一印制的报名表，报名起止时间，2023年7月14日00:00至2023年8月4日10:00。各参赛单位报名时，须核准参赛运动员身份信息后，在规定报名时间内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以电子版、扫描版（加盖参赛单位公章）两种形式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的报名表发送至邮箱：tianjinkarate@163.com，联系人：安老师18630822192；且将报名表纸质版（必须打印，加盖单位公章）领队会时提交，逾期报名，不予受理。凡报名表与规定格式不符，不予参赛。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报名信息以报名系统数据为准。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领队会时间、地点：另行通知。领队会同时交验各参赛单位报名表原件（单位公章）、参赛运动员本人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第二代身份证原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件、参赛单位声明（单位公章）、赛风赛纪和反兴奋剂责任书（单位公章）、保险证明、体检证明原件进行资格审查，缺少证件者不予报名，届时请各参赛单位领队准时参加。称重时间、地点：另行通知。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（四）确定最终比赛名单后，不得无故弃权。凡无故弃权者取消录取名次资格（受伤弃权者须出具二级及以上医院诊断证明、临场伤弃者需裁判长确认并签字）。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）各参赛单位于比赛检录前30分钟携带运动员第二代身份证原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报到，迟于此时间验证或未带齐证件者不允许参赛。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）比赛检录及比赛期间运动员须携带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第二代身份证原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，证件不齐者将取消比赛资格。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九、竞赛办法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（一）采用世界空手道联盟202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年最新版本比赛规则；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（二）“型”比赛的规定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1. 比赛设个人型和团体型；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2．采用世界空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手道联盟（WKF）20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年竞赛规则；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3．只允许演练WKF正式型列表中所规定的型；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 在每一轮比赛中，选手都必须演练不同的型。演练过的型不得再重复；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5. 团体型奖牌赛须演练型分解。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（三）每个级别的比赛1天内结束，称量体重在比赛前1天下午进行，称体重时间和地点：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另行通知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（四）比赛采用单败淘汰赛制。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（五）禁止使用违禁药品。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（六）各参赛单位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的运动员于赛前一天正式称量体重（具体时间另行通知）。</w:t>
      </w:r>
    </w:p>
    <w:p>
      <w:pPr>
        <w:spacing w:line="560" w:lineRule="exact"/>
        <w:ind w:firstLine="645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十、录取名次和奖励办法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（一）各组别项目录取前八名，参赛人数不足八人（含八人）减二录取，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上场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参赛人数不足三人（含三人）取消设项。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（二）获得名次分别是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冠亚军各1人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并列第三名、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并列第五名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为获奖者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颁发证书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）本次比赛设“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体育道德风尚奖代表队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优秀组织单位奖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（四）本次比赛不符合国家体育总局最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新颁布的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2023年可授予运动员技术等级称号赛事名录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的相关规定，因此不予办理审批授予等级运动员称号。</w:t>
      </w:r>
    </w:p>
    <w:p>
      <w:pPr>
        <w:ind w:firstLine="640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十一、器材和经费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举办方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负责提供比赛所用垫子、竞赛器材等；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（二）参赛运动员必须自备道服、拳套、护腿、护脚、躯干护具、女子护胸、护齿、护头、红蓝方色带等，以上保护性装备不全或不符合要求者将禁止上场比赛；竞委会现场不提供任何护具类装备。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（三）参赛运动员不得穿着带中国（含英文标识 CHINA）字样和带有广告字样、标识的道服上场比赛，参赛运动员道服和道带上不得出现运动员本人的姓名或个性化装饰，道服上的所有标识须经中国空协审查后方可使用。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2020 年世空联认证道服品牌：</w:t>
      </w:r>
    </w:p>
    <w:p>
      <w:pPr>
        <w:ind w:firstLine="56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1289050</wp:posOffset>
            </wp:positionH>
            <wp:positionV relativeFrom="paragraph">
              <wp:posOffset>67945</wp:posOffset>
            </wp:positionV>
            <wp:extent cx="5193030" cy="1680845"/>
            <wp:effectExtent l="0" t="0" r="7620" b="14605"/>
            <wp:wrapTopAndBottom/>
            <wp:docPr id="2" name="image2.jpeg" descr="道服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道服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1353820</wp:posOffset>
            </wp:positionH>
            <wp:positionV relativeFrom="paragraph">
              <wp:posOffset>561975</wp:posOffset>
            </wp:positionV>
            <wp:extent cx="5174615" cy="1097915"/>
            <wp:effectExtent l="0" t="0" r="6985" b="6985"/>
            <wp:wrapTopAndBottom/>
            <wp:docPr id="1" name="image3.jpeg" descr="护具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护具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2020 年世空联认证护具品牌：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（四）参赛经费自理。</w:t>
      </w:r>
    </w:p>
    <w:p>
      <w:pPr>
        <w:ind w:firstLine="640" w:firstLineChars="20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十二、仲裁委员会和裁判员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仲裁委员会人员组成和职责范围按国家体育总局颁发的《仲裁委员会条例》执行。竞赛所需裁判员，由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赛事举办方统一选调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十三、赛风赛纪和反兴奋剂管理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）各代表队要加强对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参赛队（者）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进行赛风赛纪反兴奋剂教育，各参赛单位要与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委会签订《赛风赛纪和反兴奋剂责任书》，确保各项活动顺利举行。</w:t>
      </w:r>
    </w:p>
    <w:p>
      <w:pPr>
        <w:spacing w:line="560" w:lineRule="exact"/>
        <w:ind w:firstLine="64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凡违反赛风赛纪，采取不正当手段获取名次者，经查情况属实，将根据情节轻重给予警告、停赛、通报批评、取消参赛资格、取消比赛成绩、扣除奖牌、总分以及取消体育道德风尚奖评选资格等处罚，对情节特别严重影响恶劣者将另加处罚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、本竞赛规程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由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天津市举重摔跤柔道拳击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跆拳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道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运动管理中心负责解释、补充、修改并颁布实施。 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、未尽事宜，另行通知。 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0" w:hanging="5760" w:hangingChars="1800"/>
        <w:jc w:val="right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天津市举重摔跤柔道拳击跆拳道运动管理中心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49" w:leftChars="2128" w:hanging="1280" w:hangingChars="400"/>
        <w:jc w:val="both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  <w:sectPr>
          <w:pgSz w:w="11900" w:h="16840"/>
          <w:pgMar w:top="1343" w:right="1409" w:bottom="998" w:left="1451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2023年7月3日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765334DB"/>
    <w:rsid w:val="35EF74CF"/>
    <w:rsid w:val="6BF636B6"/>
    <w:rsid w:val="765334DB"/>
    <w:rsid w:val="F1FD6E4E"/>
    <w:rsid w:val="FB978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3696</Words>
  <Characters>3839</Characters>
  <Lines>0</Lines>
  <Paragraphs>0</Paragraphs>
  <TotalTime>5</TotalTime>
  <ScaleCrop>false</ScaleCrop>
  <LinksUpToDate>false</LinksUpToDate>
  <CharactersWithSpaces>3955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2023-07-14T10:19:00Z</dcterms:created>
  <dc:creator>仁上·刘容境·刘晓晨</dc:creator>
  <cp:lastModifiedBy>tyj</cp:lastModifiedBy>
  <cp:lastPrinted>2023-07-14T16:10:00Z</cp:lastPrinted>
  <dcterms:modified xsi:type="dcterms:W3CDTF">2023-07-25T10:08:21Z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C13AA1644E7140E1A084A099DF44675B_11</vt:lpwstr>
  </property>
</Properties>
</file>