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天津市第九届市民运动会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中国式摔跤比赛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赛风赛纪和反兴奋剂工作责任书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为进一步做好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天津市第九届市民运动会中国式摔跤比赛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赛风赛纪和反兴奋剂工作，强化各参赛单位、人员的责任意识，依据国务院《反兴奋剂条例》的规定，按照“荣誉共享、责任共担、逐级管理”的原则，各参赛单位签订《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天津市第九届市民运动会中国式摔跤比赛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赛风赛纪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反兴奋剂工作责任书》（以下简称责任书）。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一、责任目标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自签订《责任书》之日起至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天津市第九届市民运动会中国式摔跤比赛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结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员）不出现赛风赛纪和兴奋剂违规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二、工作责任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（一）严格遵守国家法律法规和国家体育总局的有关规定，自觉维护体育竞赛的公平、公正，自觉遵守赛事纪律，文明参赛。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（二）认真遵守关于药品、营养品、食品安全的管理规定及相关文件，参照《202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年禁用清单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中国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标准》中公布禁用药物和方法的有关规定执行使用药物。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（三）认真学习、遵守国家及我市关于体育运动会赛风赛纪、反兴奋剂的相关规定，落实各项工作要求。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四）按照《反兴奋剂教育工作实施细则》的要求，遵循“预防为主、教育为本”的反兴奋剂工作原则，按照“全覆盖、全周期、常态化、制度化”的工作要求，加强对所属运动员、教练员、医务人员等相关辅助人员的反兴奋剂宣传教育和管理，明确责任，层层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三、处罚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天津市第九届市民运动会中国式摔跤比赛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期间，各参赛单位发生任何赛风赛纪、兴奋剂违规事件，将严格按照《反兴奋剂条例》《反兴奋剂管理办法》和《反兴奋剂规则》相关规定对运动员及相关辅助人员给予处罚，取消该参赛单位或个人的竞赛成绩及体育道德风尚奖评审资格，并给予通报批评。涉及违反党纪、政纪和国家法律的，除按照本责任书有关条款进行处罚外，还将依照国家有关法律、法规另行追究党纪、政纪和法律责任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参赛单位（盖章）：      单位负责人（签字）： 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日期 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25FB1FE-53A8-4539-9601-9F849E65FA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1E71792-7457-43FC-B7AE-42989A458C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68B6AA-9F8A-4CE5-AC21-335AEB6F82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1C0D783D"/>
    <w:rsid w:val="1C0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2023-07-14T03:44:00Z</dcterms:created>
  <dc:creator>仁上·刘容境·刘晓晨</dc:creator>
  <cp:lastModifiedBy>仁上·刘容境·刘晓晨</cp:lastModifiedBy>
  <dcterms:modified xsi:type="dcterms:W3CDTF">2023-07-14T03:45:48Z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180EF847A64B4744A27EB21A83040084_11</vt:lpwstr>
  </property>
</Properties>
</file>