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赛风赛纪、反兴奋剂责任书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体育赛事活动管理办法》、天津市体育局《天津市贯彻＜体育赛事活动管理办法＞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我要上全运“体彩杯”2025年天津市全民健身健康运动会空手道比赛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参赛单位（盖章）: XXXX 单位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 XX 月 XX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D2FBA"/>
    <w:rsid w:val="2B4616FC"/>
    <w:rsid w:val="418738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401</Characters>
  <Lines>0</Lines>
  <Paragraphs>0</Paragraphs>
  <ScaleCrop>false</ScaleCrop>
  <LinksUpToDate>false</LinksUpToDate>
  <CharactersWithSpaces>407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2025-03-05T06:11:00Z</dcterms:created>
  <dc:creator>Administrator</dc:creator>
  <cp:lastModifiedBy>JSR</cp:lastModifiedBy>
  <dcterms:modified xsi:type="dcterms:W3CDTF">2025-03-11T06:44:12Z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KSOTemplateDocerSaveRecord">
    <vt:lpwstr>eyJoZGlkIjoiODY0MDk0N2JjZGQyZDE3ZmMwZGUxNzhkZDczYjQyZTYiLCJ1c2VySWQiOiI4OTc4MDg2MjUifQ==</vt:lpwstr>
  </property>
  <property fmtid="{D5CDD505-2E9C-101B-9397-08002B2CF9AE}" pid="4" name="ICV">
    <vt:lpwstr>FCACCC71D84D402EA70AC41D6CA54C24_12</vt:lpwstr>
  </property>
</Properties>
</file>