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Times New Roman" w:hAnsi="Times New Roman" w:eastAsia="黑体" w:cs="黑体"/>
          <w:lang w:val="en-US"/>
        </w:rPr>
        <w:t>3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赛风赛纪、反兴奋剂责任书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参赛运动员管理单位要认真贯彻执行《中华人民共和国体育法》、国务院《反兴奋剂条例》、国家体育总局《反兴奋剂管理办法》《体育赛事活动赛风赛纪管理办法》《</w:t>
      </w:r>
      <w:r>
        <w:fldChar w:fldCharType="begin"/>
      </w:r>
      <w:r>
        <w:instrText xml:space="preserve"> HYPERLINK "https://law.wkinfo.com.cn/document/show?collection=legislation&amp;aid=MTAwMTMwMDM1NzY=&amp;language=中文"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体育赛事活动管理办法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、天津市体育局《天津市贯彻〈体育赛事活动管理办法〉实施细则》以及其他有关规定，加强对所属运动员及其辅助人员的赛风赛纪、反兴奋剂宣传教育和管理，增强赛风赛纪和反兴奋剂意识，提高赛风赛纪和反兴奋剂工作水平。自签订《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“滨海农商银行杯”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天津市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第四届少年儿童体育节空手道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赛风赛纪、反兴奋剂责任书》之日起至本次比赛结束，确保本单位所属运动员不发生任何赛风赛纪和兴奋剂违规事件。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如本单位所属运动员、教练员或其他辅助人员发生赛风赛纪、兴奋剂违规事件，将严格按照相关法律法规及规定给予当事人、相关人员和相关单位处罚、追责。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参赛单位（盖章）:</w:t>
      </w:r>
      <w:r>
        <w:rPr>
          <w:rFonts w:hint="eastAsia" w:eastAsia="仿宋_GB2312" w:cs="仿宋_GB2312"/>
          <w:color w:val="FF0000"/>
          <w:sz w:val="32"/>
          <w:szCs w:val="32"/>
        </w:rPr>
        <w:t>XXXX单位</w:t>
      </w:r>
    </w:p>
    <w:p>
      <w:pPr>
        <w:ind w:firstLine="4480" w:firstLineChars="1400"/>
      </w:pPr>
      <w:r>
        <w:rPr>
          <w:rFonts w:hint="eastAsia" w:eastAsia="仿宋_GB2312" w:cs="仿宋_GB2312"/>
          <w:sz w:val="32"/>
          <w:szCs w:val="32"/>
        </w:rPr>
        <w:t>202</w:t>
      </w:r>
      <w:r>
        <w:rPr>
          <w:rFonts w:hint="eastAsia" w:eastAsia="仿宋_GB2312" w:cs="仿宋_GB2312"/>
          <w:color w:val="FF0000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/>
    </w:p>
    <w:p>
      <w:pPr/>
    </w:p>
    <w:p>
      <w:pPr/>
    </w:p>
    <w:sectPr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A497E"/>
    <w:rsid w:val="0C4A497E"/>
    <w:rsid w:val="692E64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2025-07-23T07:12:00Z</dcterms:created>
  <dc:creator>JSR</dc:creator>
  <cp:lastModifiedBy>JSR</cp:lastModifiedBy>
  <dcterms:modified xsi:type="dcterms:W3CDTF">2025-12-08T08:20:13Z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