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4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反兴奋剂责任书</w:t>
      </w:r>
    </w:p>
    <w:bookmarkEnd w:id="0"/>
    <w:p w14:paraId="341923E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B813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运动员管理单位要认真贯彻执行《中华人民共和国体育法》、国务院《反兴奋剂条例》、国家体育总局《反兴奋剂管理办法》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《体育赛事活动赛风赛纪管理办法》《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"https://law.wkinfo.com.cn/document/show?collection=legislation&amp;aid=MTAwMTMwMDM1NzY=&amp;language=中文"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》、天津市体育局《天津市贯彻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实施细则》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以及其他有关规定，加强对所属运动员及其辅助人员的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赛风赛纪、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2025年“五虎星火杯”三人篮球挑战赛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反兴奋剂责任书》之日起至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结束，确保本单位所属运动员不发生任何赛风赛纪和兴奋剂违规事件。</w:t>
      </w:r>
    </w:p>
    <w:p w14:paraId="7F2810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兴奋剂违规事件，将严格按照相关法律法规及规定给予当事人、相关人员和相关单位处罚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、追责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10964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6808C2">
      <w:pPr>
        <w:pStyle w:val="2"/>
        <w:rPr>
          <w:rFonts w:hint="eastAsia"/>
        </w:rPr>
      </w:pPr>
    </w:p>
    <w:p w14:paraId="1C73A00C">
      <w:pPr>
        <w:pStyle w:val="2"/>
        <w:rPr>
          <w:rFonts w:hint="eastAsia"/>
        </w:rPr>
      </w:pPr>
    </w:p>
    <w:p w14:paraId="201AA631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val="en-US" w:eastAsia="zh-CN"/>
        </w:rPr>
        <w:t>XXXX单位</w:t>
      </w:r>
    </w:p>
    <w:p w14:paraId="0507DE11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5E1B7C8"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ECA181-2134-411A-B626-59C068C72C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C541A9-831E-4ED4-9334-C9F329CD87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15B9CEC-5643-4BBD-BC95-0C25ACFE4C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FE8FC4-52F6-419C-8486-959064A293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2A75F"/>
    <w:rsid w:val="39A157AF"/>
    <w:rsid w:val="FF72A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367</Characters>
  <Lines>0</Lines>
  <Paragraphs>0</Paragraphs>
  <TotalTime>0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2025-03-18T08:25:00Z</dcterms:created>
  <dc:creator>tyj</dc:creator>
  <cp:lastModifiedBy>糖宝宝</cp:lastModifiedBy>
  <dcterms:modified xsi:type="dcterms:W3CDTF">2025-08-27T03:23:11Z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eyJoZGlkIjoiNDk1MGM3OGI4NWMzMzgwMjJkYzgxNTJhN2FjNjI3NGQiLCJ1c2VySWQiOiIyMjIxNjM5OTAifQ==</vt:lpwstr>
  </property>
  <property fmtid="{D5CDD505-2E9C-101B-9397-08002B2CF9AE}" pid="4" name="ICV">
    <vt:lpwstr>7BE95277A0104DB79449EEA3B1B02818_12</vt:lpwstr>
  </property>
</Properties>
</file>