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7EB5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“我要上全运”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  <w:t>保龄球项目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  <w:woUserID w:val="1"/>
        </w:rPr>
        <w:t>天津市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  <w:t>选拔赛</w:t>
      </w:r>
    </w:p>
    <w:p w14:paraId="11C5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woUserID w:val="1"/>
        </w:rPr>
        <w:t>竞赛规程</w:t>
      </w:r>
    </w:p>
    <w:p w14:paraId="13AE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  <w:woUserID w:val="1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  <w:woUserID w:val="1"/>
        </w:rPr>
        <w:t>草案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  <w:woUserID w:val="1"/>
        </w:rPr>
        <w:t>）</w:t>
      </w:r>
    </w:p>
    <w:p w14:paraId="03487A81">
      <w:pPr>
        <w:rPr>
          <w:sz w:val="32"/>
          <w:szCs w:val="32"/>
          <w:highlight w:val="none"/>
          <w:woUserID w:val="1"/>
        </w:rPr>
      </w:pPr>
      <w:r>
        <w:rPr>
          <w:sz w:val="32"/>
          <w:szCs w:val="32"/>
          <w:highlight w:val="none"/>
          <w:woUserID w:val="1"/>
        </w:rPr>
        <w:t>　　　</w:t>
      </w:r>
    </w:p>
    <w:p w14:paraId="6895A070">
      <w:pPr>
        <w:widowControl/>
        <w:shd w:val="clear" w:color="auto" w:fill="FFFFFF"/>
        <w:spacing w:line="56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主办单位</w:t>
      </w:r>
    </w:p>
    <w:p w14:paraId="0BD4926C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小球运动管理中心</w:t>
      </w:r>
    </w:p>
    <w:p w14:paraId="6D3C37E1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承办单位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：</w:t>
      </w:r>
    </w:p>
    <w:p w14:paraId="00F7A3C4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市保龄球运动协会　　</w:t>
      </w:r>
    </w:p>
    <w:p w14:paraId="01F59DB0">
      <w:pPr>
        <w:numPr>
          <w:ilvl w:val="0"/>
          <w:numId w:val="1"/>
        </w:numPr>
        <w:ind w:left="0" w:leftChars="0" w:firstLine="321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比赛日期及地点</w:t>
      </w:r>
    </w:p>
    <w:p w14:paraId="05A27DD1"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赛事时间：</w:t>
      </w:r>
    </w:p>
    <w:p w14:paraId="5366577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2025年3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22日-23日</w:t>
      </w:r>
    </w:p>
    <w:p w14:paraId="66046536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比赛地点：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滨海新区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名将保龄球馆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　</w:t>
      </w:r>
    </w:p>
    <w:p w14:paraId="72D2EF4F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（三）比赛安排：</w:t>
      </w:r>
    </w:p>
    <w:tbl>
      <w:tblPr>
        <w:tblStyle w:val="4"/>
        <w:tblW w:w="819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951"/>
        <w:gridCol w:w="2371"/>
        <w:gridCol w:w="1070"/>
        <w:gridCol w:w="827"/>
      </w:tblGrid>
      <w:tr w14:paraId="773E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978" w:type="dxa"/>
            <w:shd w:val="clear" w:color="auto" w:fill="auto"/>
            <w:vAlign w:val="center"/>
          </w:tcPr>
          <w:p w14:paraId="5BDAC5E9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日期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06B5B65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时间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BFDACD2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地点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4D50993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油型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911588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局数</w:t>
            </w:r>
          </w:p>
        </w:tc>
      </w:tr>
      <w:tr w14:paraId="558A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978" w:type="dxa"/>
            <w:shd w:val="clear" w:color="auto" w:fill="auto"/>
            <w:vAlign w:val="center"/>
          </w:tcPr>
          <w:p w14:paraId="0B9F377E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2025年3月22日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D793159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9:00-12:00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F41BDB7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名将保龄球馆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1E18CF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短油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394B0D5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1842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978" w:type="dxa"/>
            <w:shd w:val="clear" w:color="auto" w:fill="auto"/>
            <w:vAlign w:val="center"/>
          </w:tcPr>
          <w:p w14:paraId="1C9B6A09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2025年3月22日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11142E6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14:00-17:00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06BE5C0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名将保龄球馆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09C5D2E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长油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414B6C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58F1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978" w:type="dxa"/>
            <w:shd w:val="clear" w:color="auto" w:fill="auto"/>
            <w:vAlign w:val="center"/>
          </w:tcPr>
          <w:p w14:paraId="2755420C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2025年3月23日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F55B87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9:00-12:00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7FC1BA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名将保龄球馆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888F0C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短油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101B2F7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701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1978" w:type="dxa"/>
            <w:shd w:val="clear" w:color="auto" w:fill="auto"/>
            <w:vAlign w:val="center"/>
          </w:tcPr>
          <w:p w14:paraId="25217421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2025年3月23日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03B7F39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14:00-17:00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00F59FC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名将保龄球馆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AAA5A38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长油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50D066E">
            <w:pPr>
              <w:widowControl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6</w:t>
            </w:r>
          </w:p>
        </w:tc>
      </w:tr>
    </w:tbl>
    <w:p w14:paraId="65F03DD0">
      <w:pPr>
        <w:ind w:firstLine="321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比赛项目及年龄组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　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　</w:t>
      </w:r>
    </w:p>
    <w:p w14:paraId="7EC0B292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（一）男子组：196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年1月1日（含）以后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出生（不超过65岁）；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　</w:t>
      </w:r>
    </w:p>
    <w:p w14:paraId="0A4BCF55">
      <w:pPr>
        <w:ind w:left="640" w:leftChars="0" w:hanging="640" w:hangingChars="200"/>
        <w:rPr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（二）女子组：1965年1月1日（含）以后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出生（不超过60岁）.</w:t>
      </w:r>
      <w:r>
        <w:rPr>
          <w:sz w:val="32"/>
          <w:szCs w:val="32"/>
          <w:highlight w:val="none"/>
          <w:woUserID w:val="1"/>
        </w:rPr>
        <w:t>　</w:t>
      </w:r>
    </w:p>
    <w:p w14:paraId="20007A80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、参赛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办法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　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　</w:t>
      </w:r>
    </w:p>
    <w:p w14:paraId="6B055D60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中华人民共和国公民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34E6DFBC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符合《中华人民共和国第十五届运动会群众比赛规程总则》（以下简称“规程总则”）有关规定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2CEBDD06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参赛选手需为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户籍或长期居住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或就职单位在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。其中：户籍以身份证并户口本为依据；长期居住地以本人居住证或社保缴纳记录为依据；在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就职人员以劳动合同为依据，同时提供工资证明或纳税、社保证明等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532A8CDF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（四）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以长期居住地报名的，提交居住证和社保缴纳记录。女55岁以上、男60岁以上已退休的运动员可不提交社保缴纳记录材料，但需提交退休证明。</w:t>
      </w:r>
    </w:p>
    <w:p w14:paraId="30811A6D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以上证明材料须显示运动员本人于总规程颁布（2023年8月2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日）之日前所生活和工作的地方与所代表的参赛单位一致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52C6E8DB">
      <w:pPr>
        <w:rPr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一名运动员只能代表一个参赛单位参赛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 xml:space="preserve"> 　</w:t>
      </w:r>
    </w:p>
    <w:p w14:paraId="0EC40222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报名</w:t>
      </w:r>
    </w:p>
    <w:p w14:paraId="2CD4B23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（一）各参赛运动员于2025年3月19日下午5:00前将电子版报名表发送到指定邮箱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TJBA1996@163.COM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，逾期不再受理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3437390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本次比赛自行承担报名选拔费用；每局费用10元/局，共240元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1965DA80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竞赛办法</w:t>
      </w:r>
    </w:p>
    <w:p w14:paraId="4C629B0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比赛形式：单人赛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2A017158">
      <w:pPr>
        <w:numPr>
          <w:ilvl w:val="0"/>
          <w:numId w:val="0"/>
        </w:numPr>
        <w:rPr>
          <w:rFonts w:hint="eastAsia"/>
          <w:sz w:val="32"/>
          <w:szCs w:val="32"/>
          <w:highlight w:val="none"/>
          <w:lang w:eastAsia="zh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竞赛规则：比赛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执行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2019年世界保龄球联合会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颁布、由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中国保龄球协会审定的竞赛规则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最新修改内容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4B2B040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比赛油型：长油46尺，短油39尺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294FA6D7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成绩统计：24局总分计算成绩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</w:rPr>
        <w:t>。</w:t>
      </w:r>
    </w:p>
    <w:p w14:paraId="1CF5D5DE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纪律处罚规定</w:t>
      </w:r>
    </w:p>
    <w:p w14:paraId="0455B0B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各参赛选手应自觉遵守本次比赛的竞赛规程,保证赛场秩序，比赛期间无论何种原因，出现赛风赛纪等违规行为，组委会将依据《中国保龄球协会纪律准则和处罚规定》和仲裁委员会的裁决给予处罚。如有触犯法律行为将移送公安机关依法处理，并承担相应的法律责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0AFD53F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比赛中无故弃权、严重违纪的选手不得参加三年以内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市保龄球运动协会组织的各项赛事活动，不列入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市保龄球运动协会各级代表队名单。</w:t>
      </w:r>
    </w:p>
    <w:p w14:paraId="1A586D55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服装、器材</w:t>
      </w:r>
    </w:p>
    <w:p w14:paraId="41C25E4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服装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：</w:t>
      </w:r>
    </w:p>
    <w:p w14:paraId="7DAE47BC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各参赛选手自备比赛服装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6589F9BC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上衣为T恤衫（翻领立领均可），并佩带组委会配发的号码布；</w:t>
      </w:r>
    </w:p>
    <w:p w14:paraId="5512FBD5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男子统一穿着单色西裤或休闲西裤，扎腰带，不得着短裤；女子应着符合规则要求的运动短裙、短裤或长裤；</w:t>
      </w:r>
    </w:p>
    <w:p w14:paraId="3C658AFD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男子、女子均不得穿着牛仔裤、紧身裤、运动裤、七分裤等不符合规则要求的服装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　</w:t>
      </w:r>
    </w:p>
    <w:p w14:paraId="0B4D8BF1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 xml:space="preserve">选手自带符合竞赛规则的保龄球和鞋。 </w:t>
      </w:r>
    </w:p>
    <w:p w14:paraId="458662AC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十、保险及相关</w:t>
      </w:r>
    </w:p>
    <w:p w14:paraId="742C74B3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）保险：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选拔队员需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购买意外伤害保险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304C99E0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）参赛队每名选手均需签订《自愿参赛安全承诺协议书》，自愿参赛安全承诺书必须由本人签字，不得代签。 　　</w:t>
      </w:r>
    </w:p>
    <w:p w14:paraId="38235D7C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入选办法</w:t>
      </w:r>
    </w:p>
    <w:p w14:paraId="33668D63">
      <w:p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选拔赛男子、女子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进入全运会大名单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。</w:t>
      </w:r>
    </w:p>
    <w:p w14:paraId="015D9413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十二、技术官员</w:t>
      </w:r>
    </w:p>
    <w:p w14:paraId="30F1B47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仲裁、裁判员由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"/>
          <w:woUserID w:val="1"/>
        </w:rPr>
        <w:t>天津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市保龄球运动协会裁委会统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一选派。</w:t>
      </w:r>
    </w:p>
    <w:p w14:paraId="55F4E155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十三、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安全保障</w:t>
      </w:r>
    </w:p>
    <w:p w14:paraId="40D15BB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比赛现场：比赛现场备有医务人员，保证比赛顺利进行。</w:t>
      </w:r>
    </w:p>
    <w:p w14:paraId="5BF9869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  <w:woUserID w:val="1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免责声明：</w:t>
      </w:r>
    </w:p>
    <w:p w14:paraId="24A11229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保龄球运动属于非对抗性激烈运动，所有参赛人员必须认识到保龄球比赛有受伤和事故的可能性，并根据自身身体情况决定是否参赛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；</w:t>
      </w:r>
    </w:p>
    <w:p w14:paraId="5DCD8964">
      <w:pPr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  <w:woUserID w:val="1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woUserID w:val="1"/>
        </w:rPr>
        <w:t xml:space="preserve">所有参赛选手必须承诺身体健康，且适合保龄球运动，并做好个人安全防范措施。 </w:t>
      </w:r>
    </w:p>
    <w:p w14:paraId="610D98C3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十四、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  <w:woUserID w:val="1"/>
        </w:rPr>
        <w:t>联系人：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王誉程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 xml:space="preserve"> 联系电话：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18526874957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。</w:t>
      </w:r>
    </w:p>
    <w:p w14:paraId="425FEC68">
      <w:pPr>
        <w:ind w:firstLine="321" w:firstLineChars="100"/>
        <w:rPr>
          <w:rFonts w:hint="default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  <w:woUserID w:val="1"/>
        </w:rPr>
        <w:t>十五、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woUserID w:val="1"/>
        </w:rPr>
        <w:t>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F8918"/>
    <w:multiLevelType w:val="singleLevel"/>
    <w:tmpl w:val="A70F89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84B3D9"/>
    <w:multiLevelType w:val="singleLevel"/>
    <w:tmpl w:val="3D84B3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0535"/>
    <w:rsid w:val="00B96CC8"/>
    <w:rsid w:val="07E30412"/>
    <w:rsid w:val="106A5B79"/>
    <w:rsid w:val="1098657D"/>
    <w:rsid w:val="1CC47A8B"/>
    <w:rsid w:val="211F7986"/>
    <w:rsid w:val="24834B2F"/>
    <w:rsid w:val="25D86E6D"/>
    <w:rsid w:val="2CA300BF"/>
    <w:rsid w:val="2E6F32AF"/>
    <w:rsid w:val="3DC27FCE"/>
    <w:rsid w:val="421D1B90"/>
    <w:rsid w:val="478545DF"/>
    <w:rsid w:val="488F6EA6"/>
    <w:rsid w:val="509C1DC6"/>
    <w:rsid w:val="51F50086"/>
    <w:rsid w:val="57590535"/>
    <w:rsid w:val="595210A9"/>
    <w:rsid w:val="5F5975B1"/>
    <w:rsid w:val="6D594C53"/>
    <w:rsid w:val="72876403"/>
    <w:rsid w:val="7730411B"/>
    <w:rsid w:val="796321DB"/>
    <w:rsid w:val="7BF566A1"/>
    <w:rsid w:val="7E367EE8"/>
    <w:rsid w:val="7F9F7559"/>
    <w:rsid w:val="EDFD6D3B"/>
    <w:rsid w:val="F2F51234"/>
    <w:rsid w:val="F2F5B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1397</Words>
  <Characters>1518</Characters>
  <Lines>0</Lines>
  <Paragraphs>0</Paragraphs>
  <TotalTime>3</TotalTime>
  <ScaleCrop>false</ScaleCrop>
  <LinksUpToDate>false</LinksUpToDate>
  <CharactersWithSpaces>1540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2023-11-03T14:04:00Z</dcterms:created>
  <dc:creator>Bily</dc:creator>
  <cp:lastModifiedBy>Administrator</cp:lastModifiedBy>
  <dcterms:modified xsi:type="dcterms:W3CDTF">2025-03-13T03:07:49Z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617C73AA48D8407FB6A4D32C913FD7AF_13</vt:lpwstr>
  </property>
  <property fmtid="{D5CDD505-2E9C-101B-9397-08002B2CF9AE}" pid="4" name="KSOTemplateDocerSaveRecord">
    <vt:lpwstr>eyJoZGlkIjoiODViYWY1YWNkMzhmMTVhMDUxZjc2YjNmZWU0M2NhODkifQ==</vt:lpwstr>
  </property>
</Properties>
</file>