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956321">
      <w:pPr>
        <w:autoSpaceDE w:val="0"/>
        <w:autoSpaceDN w:val="0"/>
        <w:adjustRightInd w:val="0"/>
        <w:jc w:val="center"/>
        <w:rPr>
          <w:rFonts w:ascii="Times New Roman" w:eastAsia="方正小标宋简体" w:hAnsi="Times New Roman" w:cs="方正小标宋简体"/>
          <w:kern w:val="0"/>
          <w:sz w:val="48"/>
          <w:szCs w:val="48"/>
          <w:lang w:val="zh-CN"/>
        </w:rPr>
      </w:pPr>
    </w:p>
    <w:p w:rsidR="00956321" w:rsidRDefault="0055458F">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天津市体育局（本级）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56321" w:rsidRDefault="00956321">
      <w:pPr>
        <w:autoSpaceDE w:val="0"/>
        <w:autoSpaceDN w:val="0"/>
        <w:adjustRightInd w:val="0"/>
        <w:spacing w:line="580" w:lineRule="exact"/>
        <w:jc w:val="center"/>
        <w:rPr>
          <w:rFonts w:ascii="Times New Roman" w:eastAsia="黑体" w:hAnsi="Times New Roman" w:cs="黑体"/>
          <w:sz w:val="30"/>
          <w:szCs w:val="30"/>
        </w:rPr>
      </w:pPr>
    </w:p>
    <w:p w:rsidR="00956321" w:rsidRDefault="00956321">
      <w:pPr>
        <w:autoSpaceDE w:val="0"/>
        <w:autoSpaceDN w:val="0"/>
        <w:adjustRightInd w:val="0"/>
        <w:spacing w:line="580" w:lineRule="exact"/>
        <w:jc w:val="center"/>
        <w:rPr>
          <w:rFonts w:ascii="Times New Roman" w:eastAsia="黑体" w:hAnsi="Times New Roman" w:cs="黑体"/>
          <w:sz w:val="30"/>
          <w:szCs w:val="30"/>
        </w:rPr>
      </w:pPr>
    </w:p>
    <w:p w:rsidR="00956321" w:rsidRDefault="00956321">
      <w:pPr>
        <w:autoSpaceDE w:val="0"/>
        <w:autoSpaceDN w:val="0"/>
        <w:adjustRightInd w:val="0"/>
        <w:spacing w:line="580" w:lineRule="exact"/>
        <w:jc w:val="center"/>
        <w:rPr>
          <w:rFonts w:ascii="Times New Roman" w:eastAsia="黑体" w:hAnsi="Times New Roman" w:cs="黑体"/>
          <w:sz w:val="30"/>
          <w:szCs w:val="30"/>
        </w:rPr>
      </w:pPr>
    </w:p>
    <w:p w:rsidR="00956321" w:rsidRDefault="00956321">
      <w:pPr>
        <w:autoSpaceDE w:val="0"/>
        <w:autoSpaceDN w:val="0"/>
        <w:adjustRightInd w:val="0"/>
        <w:spacing w:line="580" w:lineRule="exact"/>
        <w:jc w:val="center"/>
        <w:rPr>
          <w:rFonts w:ascii="Times New Roman" w:eastAsia="黑体" w:hAnsi="Times New Roman" w:cs="黑体"/>
          <w:sz w:val="30"/>
          <w:szCs w:val="30"/>
        </w:rPr>
      </w:pPr>
    </w:p>
    <w:p w:rsidR="00956321" w:rsidRDefault="00956321">
      <w:pPr>
        <w:autoSpaceDE w:val="0"/>
        <w:autoSpaceDN w:val="0"/>
        <w:adjustRightInd w:val="0"/>
        <w:spacing w:line="580" w:lineRule="exact"/>
        <w:jc w:val="center"/>
        <w:rPr>
          <w:rFonts w:ascii="Times New Roman" w:eastAsia="黑体" w:hAnsi="Times New Roman" w:cs="黑体"/>
          <w:sz w:val="30"/>
          <w:szCs w:val="30"/>
        </w:rPr>
      </w:pPr>
    </w:p>
    <w:p w:rsidR="00956321" w:rsidRDefault="0055458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956321" w:rsidRDefault="0055458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56321" w:rsidRDefault="00956321">
      <w:pPr>
        <w:autoSpaceDE w:val="0"/>
        <w:autoSpaceDN w:val="0"/>
        <w:adjustRightInd w:val="0"/>
        <w:spacing w:line="600" w:lineRule="exact"/>
        <w:jc w:val="left"/>
        <w:rPr>
          <w:rFonts w:ascii="Times New Roman" w:eastAsia="黑体" w:hAnsi="Times New Roman" w:cs="黑体"/>
          <w:kern w:val="0"/>
          <w:sz w:val="30"/>
          <w:szCs w:val="30"/>
        </w:rPr>
      </w:pPr>
    </w:p>
    <w:p w:rsidR="00956321" w:rsidRDefault="005545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56321" w:rsidRDefault="005545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56321" w:rsidRDefault="005545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56321" w:rsidRDefault="0055458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56321" w:rsidRDefault="0055458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956321" w:rsidRDefault="0055458F">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56321" w:rsidRDefault="005545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956321" w:rsidRDefault="0055458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956321" w:rsidRDefault="0055458F" w:rsidP="00484337">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贯彻执行国家有关体育工作的法律、法规和方针、政策，研究起草有关地方性法规、规章草案，拟订体育事业发展规划和政策，并组织实施。</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研究体育发展战略，协调区域性体育发展，负责推动多元化体育服务体系建设，推进体育公共服务和体育体制改革。</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统筹规划群众体育发展，负责推行全民健身计划。监督实施国家体育锻炼标准，推动国民体质监测和社会体育指导工作队伍制度建设。指导公共体育设施的建设，负责对公共体育设施的监督管理。</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统筹规划竞技体育运动项目的设置与重点布局，指导协调体育训练和竞赛工作，指导运动队建设，协调运动员社会保障工作。</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统筹规划青少年体育发展，指导和推进青少年体育工作。</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拟订体育产业发展规划、政策，规范体育服务管理，推动体育标准化建设，负责体育彩票发行管理。</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指导、管理体育外事有关工作，组织开展国际间和与港澳台的体育交流与合作。</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组织开展体育领域重大科技研究、技术攻关和成果推广。指导协调运动员文化教育，体育系统高、中等体育教育专业和体教结合工作。</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lastRenderedPageBreak/>
        <w:t xml:space="preserve">    </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负责组织、协调、监督体育运动中的反兴奋剂工作。</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承办市委、市政府交办的其他事项。</w:t>
      </w:r>
    </w:p>
    <w:p w:rsidR="00956321" w:rsidRDefault="0055458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56321" w:rsidRDefault="0055458F" w:rsidP="004C6081">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天津市体育局（本级）内设</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个职能处室：办公室（审计处）、机关党委办公室（党建工作处、机关纪委）、</w:t>
      </w:r>
      <w:proofErr w:type="gramStart"/>
      <w:r>
        <w:rPr>
          <w:rFonts w:ascii="Times New Roman" w:eastAsia="仿宋_GB2312" w:hAnsi="Times New Roman" w:cs="仿宋_GB2312" w:hint="eastAsia"/>
          <w:sz w:val="30"/>
          <w:szCs w:val="30"/>
        </w:rPr>
        <w:t>宣教法规</w:t>
      </w:r>
      <w:proofErr w:type="gramEnd"/>
      <w:r>
        <w:rPr>
          <w:rFonts w:ascii="Times New Roman" w:eastAsia="仿宋_GB2312" w:hAnsi="Times New Roman" w:cs="仿宋_GB2312" w:hint="eastAsia"/>
          <w:sz w:val="30"/>
          <w:szCs w:val="30"/>
        </w:rPr>
        <w:t>处（</w:t>
      </w:r>
      <w:proofErr w:type="gramStart"/>
      <w:r>
        <w:rPr>
          <w:rFonts w:ascii="Times New Roman" w:eastAsia="仿宋_GB2312" w:hAnsi="Times New Roman" w:cs="仿宋_GB2312" w:hint="eastAsia"/>
          <w:sz w:val="30"/>
          <w:szCs w:val="30"/>
        </w:rPr>
        <w:t>网信办</w:t>
      </w:r>
      <w:proofErr w:type="gramEnd"/>
      <w:r>
        <w:rPr>
          <w:rFonts w:ascii="Times New Roman" w:eastAsia="仿宋_GB2312" w:hAnsi="Times New Roman" w:cs="仿宋_GB2312" w:hint="eastAsia"/>
          <w:sz w:val="30"/>
          <w:szCs w:val="30"/>
        </w:rPr>
        <w:t>、执法监督处）、群众体育处（政务服务处）、训练竞赛处（青少年体育处）、体育产业处、人事处、计划财务处、巡察工作办公室。</w:t>
      </w:r>
    </w:p>
    <w:p w:rsidR="00956321" w:rsidRDefault="0055458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56321" w:rsidRDefault="005545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56321" w:rsidRDefault="00956321">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56321" w:rsidRDefault="0055458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56321" w:rsidRDefault="0055458F">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956321" w:rsidRDefault="0055458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天津市体育局（本级）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956321" w:rsidRDefault="00956321">
      <w:pPr>
        <w:autoSpaceDE w:val="0"/>
        <w:autoSpaceDN w:val="0"/>
        <w:adjustRightInd w:val="0"/>
        <w:spacing w:line="600" w:lineRule="exact"/>
        <w:ind w:firstLine="601"/>
        <w:jc w:val="left"/>
        <w:rPr>
          <w:rFonts w:ascii="Times New Roman" w:eastAsia="仿宋_GB2312" w:hAnsi="Times New Roman" w:cs="仿宋_GB2312"/>
          <w:sz w:val="30"/>
          <w:szCs w:val="30"/>
        </w:rPr>
      </w:pPr>
    </w:p>
    <w:p w:rsidR="00956321" w:rsidRDefault="0055458F">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956321" w:rsidRDefault="00956321">
      <w:pPr>
        <w:autoSpaceDE w:val="0"/>
        <w:autoSpaceDN w:val="0"/>
        <w:adjustRightInd w:val="0"/>
        <w:spacing w:line="580" w:lineRule="exact"/>
        <w:ind w:firstLine="600"/>
        <w:jc w:val="left"/>
        <w:rPr>
          <w:rFonts w:ascii="Times New Roman" w:eastAsia="黑体" w:hAnsi="Times New Roman" w:cs="黑体"/>
          <w:sz w:val="30"/>
          <w:szCs w:val="30"/>
          <w:lang w:val="zh-CN"/>
        </w:rPr>
      </w:pP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56321" w:rsidRDefault="005545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天津市体育局（本级）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282,784,227.81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54,480,409.09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23.86%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：增加土地收储项目收支。</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天津市体育局（本级）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266,627,264.13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54,160,614.72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：增加土地收储项目收入。</w:t>
      </w:r>
    </w:p>
    <w:p w:rsidR="00956321" w:rsidRDefault="0055458F">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49,708,267.02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18.6</w:t>
      </w:r>
      <w:r w:rsidR="00763A57">
        <w:rPr>
          <w:rFonts w:ascii="Times New Roman" w:eastAsia="仿宋_GB2312" w:hAnsi="Times New Roman" w:cs="Times New Roman" w:hint="eastAsia"/>
          <w:sz w:val="30"/>
          <w:szCs w:val="30"/>
        </w:rPr>
        <w:t>5</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956321" w:rsidRDefault="0055458F">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116,872,752.10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43.83%</w:t>
      </w:r>
      <w:r>
        <w:rPr>
          <w:rFonts w:ascii="Times New Roman" w:eastAsia="仿宋_GB2312" w:hAnsi="Times New Roman" w:cs="仿宋_GB2312" w:hint="eastAsia"/>
          <w:sz w:val="30"/>
          <w:szCs w:val="30"/>
          <w:lang w:val="zh-CN"/>
        </w:rPr>
        <w:t>；</w:t>
      </w:r>
    </w:p>
    <w:p w:rsidR="00956321" w:rsidRDefault="005545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100,046,245.01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37.52%</w:t>
      </w:r>
      <w:r>
        <w:rPr>
          <w:rFonts w:ascii="Times New Roman" w:eastAsia="仿宋_GB2312" w:hAnsi="Times New Roman" w:cs="仿宋_GB2312" w:hint="eastAsia"/>
          <w:sz w:val="30"/>
          <w:szCs w:val="30"/>
          <w:lang w:val="zh-CN"/>
        </w:rPr>
        <w:t>。</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956321" w:rsidRDefault="0055458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天津市体育局（本级）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266,135,417.28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54,655,859.55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增加土地收储项目支出。</w:t>
      </w:r>
    </w:p>
    <w:p w:rsidR="00956321" w:rsidRDefault="005545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32,642,998.64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12.27%</w:t>
      </w:r>
      <w:r>
        <w:rPr>
          <w:rFonts w:ascii="Times New Roman" w:eastAsia="仿宋_GB2312" w:hAnsi="Times New Roman" w:cs="仿宋_GB2312" w:hint="eastAsia"/>
          <w:sz w:val="30"/>
          <w:szCs w:val="30"/>
        </w:rPr>
        <w:t>；</w:t>
      </w:r>
    </w:p>
    <w:p w:rsidR="00956321" w:rsidRPr="00994B66" w:rsidRDefault="0055458F" w:rsidP="00994B6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233,492,418.64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87.73%</w:t>
      </w:r>
      <w:r>
        <w:rPr>
          <w:rFonts w:ascii="Times New Roman" w:eastAsia="仿宋_GB2312" w:hAnsi="Times New Roman" w:cs="仿宋_GB2312" w:hint="eastAsia"/>
          <w:sz w:val="30"/>
          <w:szCs w:val="30"/>
        </w:rPr>
        <w:t>。</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56321" w:rsidRDefault="0055458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天津市体育局（本级）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166,583,127.12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45,866,179.00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21.59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proofErr w:type="gramStart"/>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年无京津</w:t>
      </w:r>
      <w:proofErr w:type="gramEnd"/>
      <w:r>
        <w:rPr>
          <w:rFonts w:ascii="Times New Roman" w:eastAsia="仿宋_GB2312" w:hAnsi="Times New Roman" w:cs="仿宋_GB2312" w:hint="eastAsia"/>
          <w:sz w:val="30"/>
          <w:szCs w:val="30"/>
        </w:rPr>
        <w:t>冀协同发展天津泰达足球场提升改造重点项目。</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956321" w:rsidRDefault="005545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56321" w:rsidRDefault="0055458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天津市体育局（本级）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49,708,267.02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18.68%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8,883,348.47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21.76%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：比赛奖励、运动员退役经费、天津马拉松赛项目支出增加，以及在职职工人员、公用经费支出增长，局机关年中财政追加事业单位的</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年离休干部医药费超支部分经费预算支出。</w:t>
      </w:r>
    </w:p>
    <w:p w:rsidR="00956321" w:rsidRDefault="005545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56321" w:rsidRDefault="0055458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49,708,267.02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文化旅游体育与传媒支出</w:t>
      </w:r>
      <w:r>
        <w:rPr>
          <w:rFonts w:ascii="Times New Roman" w:eastAsia="仿宋_GB2312" w:hAnsi="Times New Roman" w:cs="仿宋_GB2312" w:hint="eastAsia"/>
          <w:sz w:val="30"/>
          <w:szCs w:val="30"/>
        </w:rPr>
        <w:t>44,859,167.02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90.25%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2,984,000.00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1,865,100.00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3.75%</w:t>
      </w:r>
      <w:r>
        <w:rPr>
          <w:rFonts w:ascii="Times New Roman" w:eastAsia="仿宋_GB2312" w:hAnsi="Times New Roman" w:cs="仿宋_GB2312" w:hint="eastAsia"/>
          <w:sz w:val="30"/>
          <w:szCs w:val="30"/>
        </w:rPr>
        <w:t>。</w:t>
      </w:r>
    </w:p>
    <w:p w:rsidR="00956321" w:rsidRDefault="0055458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（三）具体情况</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55,149,000.00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49,708,267.02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90.13%</w:t>
      </w:r>
      <w:r>
        <w:rPr>
          <w:rFonts w:ascii="Times New Roman" w:eastAsia="仿宋_GB2312" w:hAnsi="Times New Roman" w:cs="仿宋_GB2312" w:hint="eastAsia"/>
          <w:kern w:val="0"/>
          <w:sz w:val="30"/>
          <w:szCs w:val="30"/>
        </w:rPr>
        <w:t>。其中：</w:t>
      </w:r>
    </w:p>
    <w:p w:rsidR="00956321" w:rsidRDefault="0055458F" w:rsidP="00484337">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文化旅游体育与传媒支出（类）体育（款）行政运行（项）年初预算为</w:t>
      </w:r>
      <w:r>
        <w:rPr>
          <w:rFonts w:ascii="Times New Roman" w:eastAsia="仿宋_GB2312" w:hAnsi="Times New Roman" w:cs="仿宋_GB2312" w:hint="eastAsia"/>
          <w:sz w:val="30"/>
          <w:szCs w:val="30"/>
        </w:rPr>
        <w:t>23,881,000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25,552,599.53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107%</w:t>
      </w:r>
      <w:r>
        <w:rPr>
          <w:rFonts w:ascii="Times New Roman" w:eastAsia="仿宋_GB2312" w:hAnsi="Times New Roman" w:cs="仿宋_GB2312" w:hint="eastAsia"/>
          <w:sz w:val="30"/>
          <w:szCs w:val="30"/>
        </w:rPr>
        <w:t>，决算数大于年初预算数的主要原因是局机关年中财政追加人员经费与公用经费预算。</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文化旅游体育与传媒支出（类）体育（款）其他体育支出（项）年初预算为</w:t>
      </w:r>
      <w:r>
        <w:rPr>
          <w:rFonts w:ascii="Times New Roman" w:eastAsia="仿宋_GB2312" w:hAnsi="Times New Roman" w:cs="仿宋_GB2312" w:hint="eastAsia"/>
          <w:sz w:val="30"/>
          <w:szCs w:val="30"/>
        </w:rPr>
        <w:t>26,729,000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19,150,561.49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71.65%</w:t>
      </w:r>
      <w:r>
        <w:rPr>
          <w:rFonts w:ascii="Times New Roman" w:eastAsia="仿宋_GB2312" w:hAnsi="Times New Roman" w:cs="仿宋_GB2312" w:hint="eastAsia"/>
          <w:sz w:val="30"/>
          <w:szCs w:val="30"/>
        </w:rPr>
        <w:t>，决算数小于年初预算数的主要原因是体育比赛奖励发放减少。</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文化旅游体育与传媒支出（类）其他文化旅游体育与传媒支出（款）其他文化旅游体育与传媒支出（项）年初预算为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156,006.00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156,006.00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，决算数等于追加预算数的主要原因是年中追加抚恤金项目。</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1,989,000.00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1,989,000.00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995,000.00</w:t>
      </w:r>
      <w:r>
        <w:rPr>
          <w:rFonts w:ascii="Times New Roman" w:eastAsia="仿宋_GB2312" w:hAnsi="Times New Roman" w:cs="仿宋_GB2312" w:hint="eastAsia"/>
          <w:sz w:val="30"/>
          <w:szCs w:val="30"/>
        </w:rPr>
        <w:t>元，支</w:t>
      </w:r>
      <w:r>
        <w:rPr>
          <w:rFonts w:ascii="Times New Roman" w:eastAsia="仿宋_GB2312" w:hAnsi="Times New Roman" w:cs="仿宋_GB2312" w:hint="eastAsia"/>
          <w:sz w:val="30"/>
          <w:szCs w:val="30"/>
        </w:rPr>
        <w:lastRenderedPageBreak/>
        <w:t>出决算为</w:t>
      </w:r>
      <w:r>
        <w:rPr>
          <w:rFonts w:ascii="Times New Roman" w:eastAsia="仿宋_GB2312" w:hAnsi="Times New Roman" w:cs="仿宋_GB2312" w:hint="eastAsia"/>
          <w:sz w:val="30"/>
          <w:szCs w:val="30"/>
        </w:rPr>
        <w:t>995,000.00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1,306,000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1,616,100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123.74%</w:t>
      </w:r>
      <w:r>
        <w:rPr>
          <w:rFonts w:ascii="Times New Roman" w:eastAsia="仿宋_GB2312" w:hAnsi="Times New Roman" w:cs="仿宋_GB2312" w:hint="eastAsia"/>
          <w:sz w:val="30"/>
          <w:szCs w:val="30"/>
        </w:rPr>
        <w:t>，决算数大于年初预算数的主要原因是局机关年中财政追加事业单位的</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年离休干部医药费超支部分经费预算。</w:t>
      </w:r>
      <w:r>
        <w:rPr>
          <w:rFonts w:ascii="Times New Roman" w:eastAsia="仿宋_GB2312" w:hAnsi="Times New Roman" w:cs="仿宋_GB2312" w:hint="eastAsia"/>
          <w:sz w:val="30"/>
          <w:szCs w:val="30"/>
        </w:rPr>
        <w:br/>
      </w:r>
      <w:r w:rsidR="00484337">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249,000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249,000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56321" w:rsidRDefault="0055458F">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天津市体育局（本级）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30,401,699.53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2,482,340.70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在职职工人员、公用经费支出增长以及局机关年中财政追加事业单位的</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年离休干部医药费超支部分经费预算支出。</w:t>
      </w:r>
      <w:r>
        <w:rPr>
          <w:rFonts w:ascii="Times New Roman" w:eastAsia="仿宋_GB2312" w:hAnsi="Times New Roman" w:cs="仿宋_GB2312" w:hint="eastAsia"/>
          <w:kern w:val="0"/>
          <w:sz w:val="30"/>
          <w:szCs w:val="30"/>
        </w:rPr>
        <w:t>其中：</w:t>
      </w:r>
    </w:p>
    <w:p w:rsidR="00956321" w:rsidRDefault="0055458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27,384,637.64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生活补助、医疗费补助、奖励金。</w:t>
      </w:r>
    </w:p>
    <w:p w:rsidR="00956321" w:rsidRDefault="0055458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3,017,061.89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办公费、印刷费、手续费、水费、电费、邮电费、取暖费、物业管理费、差旅费、因公出国（境）</w:t>
      </w:r>
      <w:r>
        <w:rPr>
          <w:rFonts w:ascii="Times New Roman" w:eastAsia="仿宋_GB2312" w:hAnsi="Times New Roman" w:cs="仿宋_GB2312" w:hint="eastAsia"/>
          <w:sz w:val="30"/>
          <w:szCs w:val="30"/>
        </w:rPr>
        <w:lastRenderedPageBreak/>
        <w:t>费用、维修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费、租赁费、会议费、培训费、公务接待费、劳务费、委托业务费、工会经费、福利费、公务用车运行维护费、其他交通费用、其他商品和服务支出、办公设备购置、专用设备购置。</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56321" w:rsidRPr="00044235" w:rsidRDefault="0055458F" w:rsidP="00044235">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天津市体育局（本级）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2,108.00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116,872,752.10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114,172,152.10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2,702,708.00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年度相比，政府性基金财政拨款支出减少</w:t>
      </w:r>
      <w:r>
        <w:rPr>
          <w:rFonts w:ascii="Times New Roman" w:eastAsia="仿宋_GB2312" w:hAnsi="Times New Roman" w:cs="仿宋_GB2312" w:hint="eastAsia"/>
          <w:sz w:val="30"/>
          <w:szCs w:val="30"/>
        </w:rPr>
        <w:t>53,981,084.16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32.1%</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proofErr w:type="gramStart"/>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年无京津</w:t>
      </w:r>
      <w:proofErr w:type="gramEnd"/>
      <w:r>
        <w:rPr>
          <w:rFonts w:ascii="Times New Roman" w:eastAsia="仿宋_GB2312" w:hAnsi="Times New Roman" w:cs="仿宋_GB2312" w:hint="eastAsia"/>
          <w:sz w:val="30"/>
          <w:szCs w:val="30"/>
        </w:rPr>
        <w:t>冀协同发展天津泰达足球场提升改造重点项目。</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56321" w:rsidRDefault="0055458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天津市体育局（本级）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56321" w:rsidRDefault="0055458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56321" w:rsidRDefault="005545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206,000.00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157,061.89</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48,938.11</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76.24</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130,581.75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493.13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过紧日子，严控“三公”经费，压缩因公出国（境）、公车运维与公务接待支出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E469C0">
        <w:rPr>
          <w:rFonts w:ascii="Times New Roman" w:eastAsia="仿宋_GB2312" w:hAnsi="Times New Roman" w:cs="仿宋_GB2312" w:hint="eastAsia"/>
          <w:sz w:val="30"/>
          <w:szCs w:val="30"/>
        </w:rPr>
        <w:t>根据工作需要</w:t>
      </w:r>
      <w:r>
        <w:rPr>
          <w:rFonts w:ascii="Times New Roman" w:eastAsia="仿宋_GB2312" w:hAnsi="Times New Roman" w:cs="仿宋_GB2312" w:hint="eastAsia"/>
          <w:sz w:val="30"/>
          <w:szCs w:val="30"/>
        </w:rPr>
        <w:t>，因公出国（境）、公车运维与公务接待支出增多。</w:t>
      </w:r>
    </w:p>
    <w:p w:rsidR="00956321" w:rsidRDefault="0055458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160,000.00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118,285.21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41,714.79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73.93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117,730.21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21212.65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过紧日子，严控经费支出，压缩因公出国（境）开支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E469C0">
        <w:rPr>
          <w:rFonts w:ascii="Times New Roman" w:eastAsia="仿宋_GB2312" w:hAnsi="Times New Roman" w:cs="仿宋_GB2312" w:hint="eastAsia"/>
          <w:sz w:val="30"/>
          <w:szCs w:val="30"/>
        </w:rPr>
        <w:t>根据工作需要</w:t>
      </w:r>
      <w:r>
        <w:rPr>
          <w:rFonts w:ascii="Times New Roman" w:eastAsia="仿宋_GB2312" w:hAnsi="Times New Roman" w:cs="仿宋_GB2312" w:hint="eastAsia"/>
          <w:sz w:val="30"/>
          <w:szCs w:val="30"/>
        </w:rPr>
        <w:t>，因公出国次数增多。</w:t>
      </w:r>
    </w:p>
    <w:p w:rsidR="00956321" w:rsidRDefault="005545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人次。</w:t>
      </w:r>
    </w:p>
    <w:p w:rsidR="00956321" w:rsidRDefault="005545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40,000.00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33,767.68</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6,232.32</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84.42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7,842.54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30.25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过紧日子，严控经费支出，压缩公务用车运行维护开支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E469C0">
        <w:rPr>
          <w:rFonts w:ascii="Times New Roman" w:eastAsia="仿宋_GB2312" w:hAnsi="Times New Roman" w:cs="仿宋_GB2312" w:hint="eastAsia"/>
          <w:sz w:val="30"/>
          <w:szCs w:val="30"/>
        </w:rPr>
        <w:t>根据工作需要</w:t>
      </w:r>
      <w:r>
        <w:rPr>
          <w:rFonts w:ascii="Times New Roman" w:eastAsia="仿宋_GB2312" w:hAnsi="Times New Roman" w:cs="仿宋_GB2312" w:hint="eastAsia"/>
          <w:sz w:val="30"/>
          <w:szCs w:val="30"/>
        </w:rPr>
        <w:t>，公车出行次数增多。</w:t>
      </w:r>
      <w:r>
        <w:rPr>
          <w:rFonts w:ascii="Times New Roman" w:eastAsia="仿宋_GB2312" w:hAnsi="Times New Roman" w:cs="仿宋_GB2312" w:hint="eastAsia"/>
          <w:kern w:val="0"/>
          <w:sz w:val="30"/>
          <w:szCs w:val="30"/>
        </w:rPr>
        <w:t>其中：</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40,000.00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33,767.68</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6,232.32</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84.42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7,842.54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30.25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过紧日子，严控经费支出，压缩公务用车运行维护开支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E469C0">
        <w:rPr>
          <w:rFonts w:ascii="Times New Roman" w:eastAsia="仿宋_GB2312" w:hAnsi="Times New Roman" w:cs="仿宋_GB2312" w:hint="eastAsia"/>
          <w:sz w:val="30"/>
          <w:szCs w:val="30"/>
        </w:rPr>
        <w:t>根据工作需要</w:t>
      </w:r>
      <w:r>
        <w:rPr>
          <w:rFonts w:ascii="Times New Roman" w:eastAsia="仿宋_GB2312" w:hAnsi="Times New Roman" w:cs="仿宋_GB2312" w:hint="eastAsia"/>
          <w:sz w:val="30"/>
          <w:szCs w:val="30"/>
        </w:rPr>
        <w:t>，公车出行增多。</w:t>
      </w:r>
    </w:p>
    <w:p w:rsidR="00956321" w:rsidRDefault="0055458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辆。</w:t>
      </w:r>
    </w:p>
    <w:p w:rsidR="00DA6C16" w:rsidRDefault="00DA6C16" w:rsidP="00DA6C1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w:t>
      </w:r>
      <w:r>
        <w:rPr>
          <w:rFonts w:ascii="Times New Roman" w:eastAsia="仿宋_GB2312" w:hAnsi="Times New Roman" w:cs="仿宋_GB2312" w:hint="eastAsia"/>
          <w:sz w:val="30"/>
          <w:szCs w:val="30"/>
        </w:rPr>
        <w:lastRenderedPageBreak/>
        <w:t>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本年度未用财政拨款经费列支公务用车购置费。</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56321" w:rsidRDefault="0055458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6,000.00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5,009.00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991.00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83.48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5,009.00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过紧日子，严控经费支出，压缩公务接待支出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E469C0">
        <w:rPr>
          <w:rFonts w:ascii="Times New Roman" w:eastAsia="仿宋_GB2312" w:hAnsi="Times New Roman" w:cs="仿宋_GB2312" w:hint="eastAsia"/>
          <w:sz w:val="30"/>
          <w:szCs w:val="30"/>
        </w:rPr>
        <w:t>根据工作需要</w:t>
      </w:r>
      <w:r>
        <w:rPr>
          <w:rFonts w:ascii="Times New Roman" w:eastAsia="仿宋_GB2312" w:hAnsi="Times New Roman" w:cs="仿宋_GB2312" w:hint="eastAsia"/>
          <w:sz w:val="30"/>
          <w:szCs w:val="30"/>
        </w:rPr>
        <w:t>，公务接待次数增加</w:t>
      </w:r>
    </w:p>
    <w:p w:rsidR="00956321" w:rsidRDefault="0055458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18</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956321" w:rsidRPr="005B2D2B" w:rsidRDefault="0055458F" w:rsidP="005B2D2B">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天津市体育局（本级）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3,017,061.89</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81,513.06</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2.78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办公费增加。</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56321" w:rsidRPr="00166912" w:rsidRDefault="0055458F" w:rsidP="0016691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天津市体育局（本级）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30,641,662.86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4,058,662.86</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26,583,000.00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18,238,662.86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59.52%</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2,956,128.00</w:t>
      </w:r>
      <w:r>
        <w:rPr>
          <w:rFonts w:ascii="Times New Roman" w:eastAsia="仿宋_GB2312" w:hAnsi="Times New Roman" w:cs="仿宋_GB2312" w:hint="eastAsia"/>
          <w:color w:val="000000"/>
          <w:kern w:val="0"/>
          <w:sz w:val="30"/>
          <w:szCs w:val="30"/>
        </w:rPr>
        <w:lastRenderedPageBreak/>
        <w:t>元，占政府采购支出总额的</w:t>
      </w:r>
      <w:r>
        <w:rPr>
          <w:rFonts w:ascii="Times New Roman" w:eastAsia="仿宋_GB2312" w:hAnsi="Times New Roman" w:cs="Times New Roman" w:hint="eastAsia"/>
          <w:kern w:val="0"/>
          <w:sz w:val="30"/>
          <w:szCs w:val="30"/>
        </w:rPr>
        <w:t>9.65%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bookmarkStart w:id="0" w:name="_GoBack"/>
      <w:bookmarkEnd w:id="0"/>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53.34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56321" w:rsidRPr="00E6407C" w:rsidRDefault="0055458F" w:rsidP="00E6407C">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日，天津市体育局（本级）共有车辆</w:t>
      </w:r>
      <w:r>
        <w:rPr>
          <w:rFonts w:ascii="Times New Roman" w:eastAsia="仿宋_GB2312" w:hAnsi="Times New Roman" w:cs="Times New Roman" w:hint="eastAsia"/>
          <w:kern w:val="0"/>
          <w:sz w:val="30"/>
          <w:szCs w:val="30"/>
        </w:rPr>
        <w:t>24</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21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sidR="00E6407C">
        <w:rPr>
          <w:rFonts w:ascii="Times New Roman" w:eastAsia="仿宋_GB2312" w:hAnsi="Times New Roman" w:cs="仿宋_GB2312" w:hint="eastAsia"/>
          <w:sz w:val="30"/>
          <w:szCs w:val="30"/>
        </w:rPr>
        <w:t>一般公务用车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台（套）。</w:t>
      </w:r>
    </w:p>
    <w:p w:rsidR="00956321" w:rsidRDefault="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根据预算绩效管理要求，天津市体育局（本级）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25</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145</w:t>
      </w:r>
      <w:r w:rsidR="004F0749">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763</w:t>
      </w:r>
      <w:r w:rsidR="004F0749">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078.1</w:t>
      </w:r>
      <w:r w:rsidR="00F0268B">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元，自评结果已随部门决算一并公开。</w:t>
      </w:r>
    </w:p>
    <w:p w:rsidR="00956321" w:rsidRPr="0055458F" w:rsidRDefault="0055458F" w:rsidP="0055458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天津市体育局（本级）不属于乡、镇、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956321" w:rsidRDefault="0055458F">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956321" w:rsidRDefault="0055458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956321" w:rsidRDefault="00956321">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56321" w:rsidRDefault="0055458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56321" w:rsidRDefault="0055458F">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9563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62" w:rsidRDefault="003B4F62" w:rsidP="00ED2BC1">
      <w:r>
        <w:separator/>
      </w:r>
    </w:p>
  </w:endnote>
  <w:endnote w:type="continuationSeparator" w:id="0">
    <w:p w:rsidR="003B4F62" w:rsidRDefault="003B4F62" w:rsidP="00ED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方正舒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汉仪中黑 197"/>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62" w:rsidRDefault="003B4F62" w:rsidP="00ED2BC1">
      <w:r>
        <w:separator/>
      </w:r>
    </w:p>
  </w:footnote>
  <w:footnote w:type="continuationSeparator" w:id="0">
    <w:p w:rsidR="003B4F62" w:rsidRDefault="003B4F62" w:rsidP="00ED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44235"/>
    <w:rsid w:val="00047C6F"/>
    <w:rsid w:val="000528EE"/>
    <w:rsid w:val="000719FD"/>
    <w:rsid w:val="000B5C71"/>
    <w:rsid w:val="000D4B98"/>
    <w:rsid w:val="00127EFA"/>
    <w:rsid w:val="00142888"/>
    <w:rsid w:val="00152EEB"/>
    <w:rsid w:val="00153077"/>
    <w:rsid w:val="00166912"/>
    <w:rsid w:val="00167CB7"/>
    <w:rsid w:val="001A0E4F"/>
    <w:rsid w:val="001B5C3C"/>
    <w:rsid w:val="001C0399"/>
    <w:rsid w:val="001D587E"/>
    <w:rsid w:val="002124F6"/>
    <w:rsid w:val="00264B59"/>
    <w:rsid w:val="00276D8B"/>
    <w:rsid w:val="002A4997"/>
    <w:rsid w:val="002E6086"/>
    <w:rsid w:val="00302490"/>
    <w:rsid w:val="003227B2"/>
    <w:rsid w:val="003536BE"/>
    <w:rsid w:val="003B25FB"/>
    <w:rsid w:val="003B4F62"/>
    <w:rsid w:val="00484337"/>
    <w:rsid w:val="004928DB"/>
    <w:rsid w:val="004A482F"/>
    <w:rsid w:val="004C6081"/>
    <w:rsid w:val="004F0749"/>
    <w:rsid w:val="004F39BF"/>
    <w:rsid w:val="005062D7"/>
    <w:rsid w:val="005175E6"/>
    <w:rsid w:val="00525157"/>
    <w:rsid w:val="005349A2"/>
    <w:rsid w:val="0055458F"/>
    <w:rsid w:val="00575537"/>
    <w:rsid w:val="005B2D2B"/>
    <w:rsid w:val="005D1367"/>
    <w:rsid w:val="005D3F56"/>
    <w:rsid w:val="00654D17"/>
    <w:rsid w:val="006623EC"/>
    <w:rsid w:val="006A094D"/>
    <w:rsid w:val="006D2409"/>
    <w:rsid w:val="006E63B6"/>
    <w:rsid w:val="006E65DB"/>
    <w:rsid w:val="00763A57"/>
    <w:rsid w:val="00776FF3"/>
    <w:rsid w:val="0078156E"/>
    <w:rsid w:val="00786E74"/>
    <w:rsid w:val="007D1285"/>
    <w:rsid w:val="007E49E1"/>
    <w:rsid w:val="007F6DA7"/>
    <w:rsid w:val="008174D5"/>
    <w:rsid w:val="00885126"/>
    <w:rsid w:val="0089698B"/>
    <w:rsid w:val="008D48A9"/>
    <w:rsid w:val="00941A30"/>
    <w:rsid w:val="00956321"/>
    <w:rsid w:val="00977DCC"/>
    <w:rsid w:val="009820CF"/>
    <w:rsid w:val="00982A8B"/>
    <w:rsid w:val="00994B66"/>
    <w:rsid w:val="009A7ED3"/>
    <w:rsid w:val="009D74D7"/>
    <w:rsid w:val="00A57AE7"/>
    <w:rsid w:val="00AF71AE"/>
    <w:rsid w:val="00B33C70"/>
    <w:rsid w:val="00B6607E"/>
    <w:rsid w:val="00B75228"/>
    <w:rsid w:val="00B811F1"/>
    <w:rsid w:val="00B81B9F"/>
    <w:rsid w:val="00BC763A"/>
    <w:rsid w:val="00BC7D6F"/>
    <w:rsid w:val="00BD3CAC"/>
    <w:rsid w:val="00BF697A"/>
    <w:rsid w:val="00C363C7"/>
    <w:rsid w:val="00C52E77"/>
    <w:rsid w:val="00C65A44"/>
    <w:rsid w:val="00C76AC3"/>
    <w:rsid w:val="00C83EB4"/>
    <w:rsid w:val="00D4505A"/>
    <w:rsid w:val="00D65B41"/>
    <w:rsid w:val="00DA6C16"/>
    <w:rsid w:val="00DC3234"/>
    <w:rsid w:val="00DC3CD0"/>
    <w:rsid w:val="00DD60B5"/>
    <w:rsid w:val="00DE1F1C"/>
    <w:rsid w:val="00E469C0"/>
    <w:rsid w:val="00E6407C"/>
    <w:rsid w:val="00E7602B"/>
    <w:rsid w:val="00E964B2"/>
    <w:rsid w:val="00EA6549"/>
    <w:rsid w:val="00ED29A3"/>
    <w:rsid w:val="00ED2BC1"/>
    <w:rsid w:val="00F007FE"/>
    <w:rsid w:val="00F0268B"/>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doreen</cp:lastModifiedBy>
  <cp:revision>84</cp:revision>
  <dcterms:created xsi:type="dcterms:W3CDTF">2023-08-11T08:11:00Z</dcterms:created>
  <dcterms:modified xsi:type="dcterms:W3CDTF">2024-08-21T07:00:00Z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