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B4BE">
      <w:pPr>
        <w:adjustRightInd w:val="0"/>
        <w:spacing w:line="600" w:lineRule="exact"/>
        <w:jc w:val="center"/>
        <w:textAlignment w:val="baseline"/>
        <w:rPr>
          <w:rFonts w:eastAsia="方正小标宋简体"/>
          <w:kern w:val="0"/>
          <w:sz w:val="44"/>
          <w:szCs w:val="32"/>
        </w:rPr>
      </w:pPr>
      <w:r>
        <w:rPr>
          <w:rFonts w:eastAsia="方正小标宋简体"/>
          <w:kern w:val="0"/>
          <w:sz w:val="44"/>
          <w:szCs w:val="32"/>
        </w:rPr>
        <w:t>202</w:t>
      </w:r>
      <w:r>
        <w:rPr>
          <w:rFonts w:hint="eastAsia" w:eastAsia="方正小标宋简体"/>
          <w:kern w:val="0"/>
          <w:sz w:val="44"/>
          <w:szCs w:val="32"/>
        </w:rPr>
        <w:t>4</w:t>
      </w:r>
      <w:r>
        <w:rPr>
          <w:rFonts w:eastAsia="方正小标宋简体"/>
          <w:kern w:val="0"/>
          <w:sz w:val="44"/>
          <w:szCs w:val="32"/>
        </w:rPr>
        <w:t>年度中央专项彩票公益金支持地方</w:t>
      </w:r>
    </w:p>
    <w:p w14:paraId="1A522784">
      <w:pPr>
        <w:adjustRightInd w:val="0"/>
        <w:spacing w:line="600" w:lineRule="exact"/>
        <w:jc w:val="center"/>
        <w:textAlignment w:val="baseline"/>
        <w:rPr>
          <w:rFonts w:hint="default" w:ascii="Times New Roman" w:hAnsi="Times New Roman" w:eastAsia="宋体" w:cs="Times New Roman"/>
          <w:b/>
          <w:color w:val="auto"/>
          <w:sz w:val="36"/>
          <w:szCs w:val="44"/>
        </w:rPr>
      </w:pPr>
      <w:r>
        <w:rPr>
          <w:rFonts w:eastAsia="方正小标宋简体"/>
          <w:kern w:val="0"/>
          <w:sz w:val="44"/>
          <w:szCs w:val="32"/>
        </w:rPr>
        <w:t>社会公益事业发展项目资金绩效自评报告</w:t>
      </w:r>
    </w:p>
    <w:p w14:paraId="7A3EE9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p>
    <w:p w14:paraId="2E342638">
      <w:pPr>
        <w:ind w:firstLine="645"/>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根据</w:t>
      </w:r>
      <w:r>
        <w:rPr>
          <w:rFonts w:hint="eastAsia" w:ascii="Times New Roman" w:hAnsi="Times New Roman" w:cs="Times New Roman"/>
          <w:sz w:val="32"/>
          <w:szCs w:val="32"/>
          <w:lang w:val="en-US" w:eastAsia="zh-CN"/>
        </w:rPr>
        <w:t>《财政部关于开展</w:t>
      </w:r>
      <w:r>
        <w:rPr>
          <w:rFonts w:hint="eastAsia" w:cs="Times New Roman"/>
          <w:sz w:val="32"/>
          <w:szCs w:val="32"/>
          <w:lang w:val="en-US" w:eastAsia="zh-CN"/>
        </w:rPr>
        <w:t>2024年</w:t>
      </w:r>
      <w:r>
        <w:rPr>
          <w:rFonts w:hint="eastAsia" w:ascii="Times New Roman" w:hAnsi="Times New Roman" w:cs="Times New Roman"/>
          <w:sz w:val="32"/>
          <w:szCs w:val="32"/>
          <w:lang w:val="en-US" w:eastAsia="zh-CN"/>
        </w:rPr>
        <w:t>度中央对地方转移支付预算执行情况绩效自评工作的通知》（财监〔202</w:t>
      </w:r>
      <w:r>
        <w:rPr>
          <w:rFonts w:hint="eastAsia" w:cs="Times New Roman"/>
          <w:sz w:val="32"/>
          <w:szCs w:val="32"/>
          <w:lang w:val="en-US" w:eastAsia="zh-CN"/>
        </w:rPr>
        <w:t>5</w:t>
      </w:r>
      <w:r>
        <w:rPr>
          <w:rFonts w:hint="eastAsia" w:ascii="Times New Roman" w:hAnsi="Times New Roman" w:cs="Times New Roman"/>
          <w:sz w:val="32"/>
          <w:szCs w:val="32"/>
          <w:lang w:val="en-US" w:eastAsia="zh-CN"/>
        </w:rPr>
        <w:t>〕</w:t>
      </w:r>
      <w:r>
        <w:rPr>
          <w:rFonts w:hint="eastAsia" w:cs="Times New Roman"/>
          <w:sz w:val="32"/>
          <w:szCs w:val="32"/>
          <w:lang w:val="en-US" w:eastAsia="zh-CN"/>
        </w:rPr>
        <w:t>1</w:t>
      </w:r>
      <w:r>
        <w:rPr>
          <w:rFonts w:hint="eastAsia" w:ascii="Times New Roman" w:hAnsi="Times New Roman" w:cs="Times New Roman"/>
          <w:sz w:val="32"/>
          <w:szCs w:val="32"/>
          <w:lang w:val="en-US" w:eastAsia="zh-CN"/>
        </w:rPr>
        <w:t>号）、《天津市市对区转移支付资金预算绩效管理办法》(津财绩效〔2020〕17号）以及《天津市财政局关于开展</w:t>
      </w:r>
      <w:r>
        <w:rPr>
          <w:rFonts w:hint="eastAsia" w:cs="Times New Roman"/>
          <w:sz w:val="32"/>
          <w:szCs w:val="32"/>
          <w:lang w:val="en-US" w:eastAsia="zh-CN"/>
        </w:rPr>
        <w:t>2024年</w:t>
      </w:r>
      <w:r>
        <w:rPr>
          <w:rFonts w:hint="eastAsia" w:ascii="Times New Roman" w:hAnsi="Times New Roman" w:cs="Times New Roman"/>
          <w:sz w:val="32"/>
          <w:szCs w:val="32"/>
          <w:lang w:val="en-US" w:eastAsia="zh-CN"/>
        </w:rPr>
        <w:t>度转移支付预算执行情况绩效自评工作的通知》（津财绩效〔202</w:t>
      </w:r>
      <w:r>
        <w:rPr>
          <w:rFonts w:hint="eastAsia" w:cs="Times New Roman"/>
          <w:sz w:val="32"/>
          <w:szCs w:val="32"/>
          <w:lang w:val="en-US" w:eastAsia="zh-CN"/>
        </w:rPr>
        <w:t>5</w:t>
      </w:r>
      <w:r>
        <w:rPr>
          <w:rFonts w:hint="eastAsia" w:ascii="Times New Roman" w:hAnsi="Times New Roman" w:cs="Times New Roman"/>
          <w:sz w:val="32"/>
          <w:szCs w:val="32"/>
          <w:lang w:val="en-US" w:eastAsia="zh-CN"/>
        </w:rPr>
        <w:t>〕4号）</w:t>
      </w:r>
      <w:r>
        <w:rPr>
          <w:rFonts w:hint="default" w:ascii="Times New Roman" w:hAnsi="Times New Roman" w:cs="Times New Roman"/>
          <w:sz w:val="32"/>
          <w:szCs w:val="32"/>
          <w:lang w:val="en-US" w:eastAsia="zh-CN"/>
        </w:rPr>
        <w:t>要求，现将</w:t>
      </w:r>
      <w:r>
        <w:rPr>
          <w:rFonts w:hint="eastAsia" w:cs="Times New Roman"/>
          <w:sz w:val="32"/>
          <w:szCs w:val="32"/>
          <w:lang w:val="en-US" w:eastAsia="zh-CN"/>
        </w:rPr>
        <w:t>2024年</w:t>
      </w:r>
      <w:r>
        <w:rPr>
          <w:rFonts w:hint="default" w:ascii="Times New Roman" w:hAnsi="Times New Roman" w:cs="Times New Roman"/>
          <w:sz w:val="32"/>
          <w:szCs w:val="32"/>
          <w:lang w:val="en-US" w:eastAsia="zh-CN"/>
        </w:rPr>
        <w:t>中央专项彩票公益金支持我市社会公益事业发展项目专项资金自评如下。</w:t>
      </w:r>
    </w:p>
    <w:p w14:paraId="7DD68266">
      <w:pPr>
        <w:snapToGrid w:val="0"/>
        <w:spacing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一、绩效目标分解下达情况</w:t>
      </w:r>
    </w:p>
    <w:p w14:paraId="40E29AF0">
      <w:pPr>
        <w:ind w:firstLine="645"/>
        <w:rPr>
          <w:rFonts w:hint="default" w:ascii="Times New Roman" w:hAnsi="Times New Roman" w:cs="Times New Roman"/>
          <w:sz w:val="32"/>
          <w:szCs w:val="32"/>
          <w:lang w:val="en-US" w:eastAsia="zh-CN"/>
        </w:rPr>
      </w:pPr>
      <w:r>
        <w:rPr>
          <w:rFonts w:hint="eastAsia" w:cs="Times New Roman"/>
          <w:sz w:val="32"/>
          <w:szCs w:val="32"/>
          <w:lang w:val="en-US" w:eastAsia="zh-CN"/>
        </w:rPr>
        <w:t>2024年</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天津市</w:t>
      </w:r>
      <w:r>
        <w:rPr>
          <w:rFonts w:hint="default" w:ascii="Times New Roman" w:hAnsi="Times New Roman" w:cs="Times New Roman"/>
          <w:sz w:val="32"/>
          <w:szCs w:val="32"/>
          <w:lang w:val="en-US" w:eastAsia="zh-CN"/>
        </w:rPr>
        <w:t>体育局在组织摸底调研和前期申报备选的项目基础上，申请中央专项彩票公益金支持社会公益事业发展项目专项资金</w:t>
      </w:r>
      <w:r>
        <w:rPr>
          <w:rFonts w:hint="eastAsia" w:cs="Times New Roman"/>
          <w:sz w:val="32"/>
          <w:szCs w:val="32"/>
          <w:lang w:val="en-US" w:eastAsia="zh-CN"/>
        </w:rPr>
        <w:t>1109.7</w:t>
      </w:r>
      <w:r>
        <w:rPr>
          <w:rFonts w:hint="default" w:ascii="Times New Roman" w:hAnsi="Times New Roman" w:cs="Times New Roman"/>
          <w:sz w:val="32"/>
          <w:szCs w:val="32"/>
          <w:lang w:val="en-US" w:eastAsia="zh-CN"/>
        </w:rPr>
        <w:t>万元</w:t>
      </w:r>
      <w:r>
        <w:rPr>
          <w:rFonts w:hint="eastAsia" w:cs="Times New Roman"/>
          <w:sz w:val="32"/>
          <w:szCs w:val="32"/>
          <w:lang w:val="en-US" w:eastAsia="zh-CN"/>
        </w:rPr>
        <w:t>。其中，</w:t>
      </w:r>
      <w:r>
        <w:rPr>
          <w:rFonts w:hint="default" w:ascii="Times New Roman" w:hAnsi="Times New Roman" w:cs="Times New Roman"/>
          <w:sz w:val="32"/>
          <w:szCs w:val="32"/>
          <w:lang w:val="en-US" w:eastAsia="zh-CN"/>
        </w:rPr>
        <w:t>用于</w:t>
      </w:r>
      <w:r>
        <w:rPr>
          <w:rFonts w:hint="eastAsia" w:ascii="Times New Roman" w:hAnsi="Times New Roman" w:cs="Times New Roman"/>
          <w:sz w:val="32"/>
          <w:szCs w:val="32"/>
          <w:lang w:val="en-US" w:eastAsia="zh-CN"/>
        </w:rPr>
        <w:t>支持我市</w:t>
      </w:r>
      <w:r>
        <w:rPr>
          <w:rFonts w:hint="eastAsia" w:cs="Times New Roman"/>
          <w:sz w:val="32"/>
          <w:szCs w:val="32"/>
          <w:lang w:val="en-US" w:eastAsia="zh-CN"/>
        </w:rPr>
        <w:t>宁河</w:t>
      </w:r>
      <w:r>
        <w:rPr>
          <w:rFonts w:hint="eastAsia" w:ascii="Times New Roman" w:hAnsi="Times New Roman" w:cs="Times New Roman"/>
          <w:sz w:val="32"/>
          <w:szCs w:val="32"/>
          <w:lang w:val="en-US" w:eastAsia="zh-CN"/>
        </w:rPr>
        <w:t>区西堤柳岸体育公园</w:t>
      </w:r>
      <w:r>
        <w:rPr>
          <w:rFonts w:hint="eastAsia" w:cs="Times New Roman"/>
          <w:sz w:val="32"/>
          <w:szCs w:val="32"/>
          <w:lang w:val="en-US" w:eastAsia="zh-CN"/>
        </w:rPr>
        <w:t>149.7万元、滨海新区汉沽体育场维修改造500万元和全民健身场地设施建设460万元</w:t>
      </w:r>
      <w:r>
        <w:rPr>
          <w:rFonts w:hint="default" w:ascii="Times New Roman" w:hAnsi="Times New Roman" w:cs="Times New Roman"/>
          <w:sz w:val="32"/>
          <w:szCs w:val="32"/>
          <w:lang w:val="en-US" w:eastAsia="zh-CN"/>
        </w:rPr>
        <w:t>。</w:t>
      </w:r>
    </w:p>
    <w:p w14:paraId="5C0C0C4A">
      <w:pPr>
        <w:ind w:firstLine="645"/>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上述转移支付资金经天津市财政局批复</w:t>
      </w:r>
      <w:r>
        <w:rPr>
          <w:rFonts w:hint="default" w:ascii="Times New Roman" w:hAnsi="Times New Roman" w:cs="Times New Roman"/>
          <w:sz w:val="32"/>
          <w:szCs w:val="32"/>
          <w:highlight w:val="none"/>
          <w:lang w:val="en-US" w:eastAsia="zh-CN"/>
        </w:rPr>
        <w:t>（津财教指〔202</w:t>
      </w:r>
      <w:r>
        <w:rPr>
          <w:rFonts w:hint="eastAsia" w:cs="Times New Roman"/>
          <w:sz w:val="32"/>
          <w:szCs w:val="32"/>
          <w:highlight w:val="none"/>
          <w:lang w:val="en-US" w:eastAsia="zh-CN"/>
        </w:rPr>
        <w:t>4</w:t>
      </w:r>
      <w:r>
        <w:rPr>
          <w:rFonts w:hint="default" w:ascii="Times New Roman" w:hAnsi="Times New Roman" w:cs="Times New Roman"/>
          <w:sz w:val="32"/>
          <w:szCs w:val="32"/>
          <w:highlight w:val="none"/>
          <w:lang w:val="en-US" w:eastAsia="zh-CN"/>
        </w:rPr>
        <w:t>〕</w:t>
      </w:r>
      <w:r>
        <w:rPr>
          <w:rFonts w:hint="eastAsia" w:cs="Times New Roman"/>
          <w:sz w:val="32"/>
          <w:szCs w:val="32"/>
          <w:highlight w:val="none"/>
          <w:lang w:val="en-US" w:eastAsia="zh-CN"/>
        </w:rPr>
        <w:t>39</w:t>
      </w:r>
      <w:r>
        <w:rPr>
          <w:rFonts w:hint="default" w:ascii="Times New Roman" w:hAnsi="Times New Roman" w:cs="Times New Roman"/>
          <w:sz w:val="32"/>
          <w:szCs w:val="32"/>
          <w:highlight w:val="none"/>
          <w:lang w:val="en-US" w:eastAsia="zh-CN"/>
        </w:rPr>
        <w:t>号）</w:t>
      </w:r>
      <w:r>
        <w:rPr>
          <w:rFonts w:hint="default" w:ascii="Times New Roman" w:hAnsi="Times New Roman" w:cs="Times New Roman"/>
          <w:sz w:val="32"/>
          <w:szCs w:val="32"/>
          <w:lang w:val="en-US" w:eastAsia="zh-CN"/>
        </w:rPr>
        <w:t>同意，并结合我市有关经费管理办法，由</w:t>
      </w:r>
      <w:r>
        <w:rPr>
          <w:rFonts w:hint="eastAsia" w:cs="Times New Roman"/>
          <w:sz w:val="32"/>
          <w:szCs w:val="32"/>
          <w:lang w:val="en-US" w:eastAsia="zh-CN"/>
        </w:rPr>
        <w:t>宁河区</w:t>
      </w:r>
      <w:r>
        <w:rPr>
          <w:rFonts w:hint="eastAsia" w:ascii="Times New Roman" w:hAnsi="Times New Roman" w:cs="Times New Roman"/>
          <w:sz w:val="32"/>
          <w:szCs w:val="32"/>
          <w:lang w:val="en-US" w:eastAsia="zh-CN"/>
        </w:rPr>
        <w:t>体育局</w:t>
      </w:r>
      <w:r>
        <w:rPr>
          <w:rFonts w:hint="eastAsia" w:cs="Times New Roman"/>
          <w:sz w:val="32"/>
          <w:szCs w:val="32"/>
          <w:lang w:val="en-US" w:eastAsia="zh-CN"/>
        </w:rPr>
        <w:t>和滨海新区教体局</w:t>
      </w:r>
      <w:r>
        <w:rPr>
          <w:rFonts w:hint="default" w:ascii="Times New Roman" w:hAnsi="Times New Roman" w:cs="Times New Roman"/>
          <w:sz w:val="32"/>
          <w:szCs w:val="32"/>
          <w:lang w:val="en-US" w:eastAsia="zh-CN"/>
        </w:rPr>
        <w:t>做好经费使用及支出管理，确保设施建设顺利实施。</w:t>
      </w:r>
    </w:p>
    <w:p w14:paraId="7EB140A2">
      <w:pPr>
        <w:snapToGrid w:val="0"/>
        <w:spacing w:line="580" w:lineRule="exact"/>
        <w:ind w:firstLine="640" w:firstLineChars="200"/>
        <w:outlineLvl w:val="0"/>
        <w:rPr>
          <w:rFonts w:hint="default" w:ascii="Times New Roman" w:hAnsi="Times New Roman" w:eastAsia="黑体" w:cs="Times New Roman"/>
          <w:bCs/>
          <w:color w:val="auto"/>
          <w:sz w:val="32"/>
          <w:szCs w:val="32"/>
        </w:rPr>
      </w:pPr>
      <w:r>
        <w:rPr>
          <w:rFonts w:hint="default" w:ascii="Times New Roman" w:hAnsi="Times New Roman" w:cs="Times New Roman"/>
          <w:color w:val="auto"/>
          <w:sz w:val="32"/>
          <w:szCs w:val="32"/>
        </w:rPr>
        <w:tab/>
      </w:r>
      <w:r>
        <w:rPr>
          <w:rFonts w:hint="default" w:ascii="Times New Roman" w:hAnsi="Times New Roman" w:eastAsia="黑体" w:cs="Times New Roman"/>
          <w:bCs/>
          <w:color w:val="auto"/>
          <w:sz w:val="32"/>
          <w:szCs w:val="32"/>
        </w:rPr>
        <w:t>二、绩效情况分析</w:t>
      </w:r>
    </w:p>
    <w:p w14:paraId="337D670F">
      <w:pPr>
        <w:snapToGrid w:val="0"/>
        <w:spacing w:line="580" w:lineRule="exact"/>
        <w:ind w:firstLine="640" w:firstLineChars="200"/>
        <w:outlineLvl w:val="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（一）资金投入情况分析</w:t>
      </w:r>
    </w:p>
    <w:p w14:paraId="77D75A04">
      <w:pPr>
        <w:adjustRightInd w:val="0"/>
        <w:snapToGrid w:val="0"/>
        <w:spacing w:line="600" w:lineRule="exact"/>
        <w:ind w:firstLine="640" w:firstLineChars="200"/>
        <w:textAlignment w:val="baseline"/>
        <w:rPr>
          <w:rFonts w:hint="eastAsia" w:eastAsia="仿宋_GB2312"/>
          <w:kern w:val="0"/>
          <w:sz w:val="32"/>
          <w:szCs w:val="32"/>
        </w:rPr>
      </w:pPr>
      <w:r>
        <w:rPr>
          <w:rFonts w:hint="eastAsia" w:cs="Times New Roman"/>
          <w:sz w:val="32"/>
          <w:szCs w:val="32"/>
          <w:lang w:val="en-US" w:eastAsia="zh-CN"/>
        </w:rPr>
        <w:t>2024年</w:t>
      </w:r>
      <w:r>
        <w:rPr>
          <w:rFonts w:hint="default" w:ascii="Times New Roman" w:hAnsi="Times New Roman" w:cs="Times New Roman"/>
          <w:sz w:val="32"/>
          <w:szCs w:val="32"/>
          <w:lang w:val="en-US" w:eastAsia="zh-CN"/>
        </w:rPr>
        <w:t>，我市中央专项彩票公益金支持社会公益事业发展项目专项资金分配体育部门共计</w:t>
      </w:r>
      <w:r>
        <w:rPr>
          <w:rFonts w:hint="eastAsia" w:cs="Times New Roman"/>
          <w:sz w:val="32"/>
          <w:szCs w:val="32"/>
          <w:lang w:val="en-US" w:eastAsia="zh-CN"/>
        </w:rPr>
        <w:t>1109.7</w:t>
      </w:r>
      <w:r>
        <w:rPr>
          <w:rFonts w:hint="default" w:ascii="Times New Roman" w:hAnsi="Times New Roman" w:cs="Times New Roman"/>
          <w:sz w:val="32"/>
          <w:szCs w:val="32"/>
          <w:lang w:val="en-US" w:eastAsia="zh-CN"/>
        </w:rPr>
        <w:t>万元</w:t>
      </w:r>
      <w:r>
        <w:rPr>
          <w:rFonts w:hint="eastAsia" w:cs="Times New Roman"/>
          <w:sz w:val="32"/>
          <w:szCs w:val="32"/>
          <w:lang w:val="en-US" w:eastAsia="zh-CN"/>
        </w:rPr>
        <w:t>，实际执行229.25万元，预算执行率20.7%。</w:t>
      </w:r>
      <w:r>
        <w:rPr>
          <w:rFonts w:eastAsia="仿宋_GB2312"/>
          <w:kern w:val="0"/>
          <w:sz w:val="32"/>
          <w:szCs w:val="32"/>
        </w:rPr>
        <w:t>资金结转主要是因为项目</w:t>
      </w:r>
      <w:r>
        <w:rPr>
          <w:rFonts w:hint="eastAsia" w:eastAsia="仿宋_GB2312"/>
          <w:kern w:val="0"/>
          <w:sz w:val="32"/>
          <w:szCs w:val="32"/>
        </w:rPr>
        <w:t>分阶段</w:t>
      </w:r>
      <w:r>
        <w:rPr>
          <w:rFonts w:eastAsia="仿宋_GB2312"/>
          <w:kern w:val="0"/>
          <w:sz w:val="32"/>
          <w:szCs w:val="32"/>
        </w:rPr>
        <w:t>实施</w:t>
      </w:r>
      <w:r>
        <w:rPr>
          <w:rFonts w:hint="eastAsia" w:eastAsia="仿宋_GB2312"/>
          <w:kern w:val="0"/>
          <w:sz w:val="32"/>
          <w:szCs w:val="32"/>
        </w:rPr>
        <w:t>，</w:t>
      </w:r>
      <w:r>
        <w:rPr>
          <w:rFonts w:eastAsia="仿宋_GB2312"/>
          <w:kern w:val="0"/>
          <w:sz w:val="32"/>
          <w:szCs w:val="32"/>
        </w:rPr>
        <w:t>尾款</w:t>
      </w:r>
      <w:r>
        <w:rPr>
          <w:rFonts w:hint="eastAsia" w:eastAsia="仿宋_GB2312"/>
          <w:kern w:val="0"/>
          <w:sz w:val="32"/>
          <w:szCs w:val="32"/>
        </w:rPr>
        <w:t>部分</w:t>
      </w:r>
      <w:r>
        <w:rPr>
          <w:rFonts w:eastAsia="仿宋_GB2312"/>
          <w:kern w:val="0"/>
          <w:sz w:val="32"/>
          <w:szCs w:val="32"/>
        </w:rPr>
        <w:t>转年</w:t>
      </w:r>
      <w:r>
        <w:rPr>
          <w:rFonts w:hint="eastAsia" w:eastAsia="仿宋_GB2312"/>
          <w:kern w:val="0"/>
          <w:sz w:val="32"/>
          <w:szCs w:val="32"/>
        </w:rPr>
        <w:t>竣工验收后</w:t>
      </w:r>
      <w:r>
        <w:rPr>
          <w:rFonts w:eastAsia="仿宋_GB2312"/>
          <w:kern w:val="0"/>
          <w:sz w:val="32"/>
          <w:szCs w:val="32"/>
        </w:rPr>
        <w:t>再进行结算</w:t>
      </w:r>
      <w:r>
        <w:rPr>
          <w:rFonts w:hint="eastAsia" w:eastAsia="仿宋_GB2312"/>
          <w:kern w:val="0"/>
          <w:sz w:val="32"/>
          <w:szCs w:val="32"/>
        </w:rPr>
        <w:t>。</w:t>
      </w:r>
    </w:p>
    <w:p w14:paraId="41AC868C">
      <w:pPr>
        <w:snapToGrid w:val="0"/>
        <w:spacing w:line="580" w:lineRule="exact"/>
        <w:ind w:firstLine="640" w:firstLineChars="200"/>
        <w:outlineLvl w:val="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（二）资金管理情况分析</w:t>
      </w:r>
    </w:p>
    <w:p w14:paraId="52946C54">
      <w:pPr>
        <w:adjustRightInd w:val="0"/>
        <w:snapToGrid w:val="0"/>
        <w:spacing w:line="600" w:lineRule="exact"/>
        <w:ind w:firstLine="640" w:firstLineChars="200"/>
        <w:textAlignment w:val="baseline"/>
        <w:outlineLvl w:val="0"/>
        <w:rPr>
          <w:rFonts w:eastAsia="仿宋_GB2312"/>
          <w:kern w:val="0"/>
          <w:sz w:val="32"/>
          <w:szCs w:val="32"/>
        </w:rPr>
      </w:pPr>
      <w:r>
        <w:rPr>
          <w:rFonts w:hint="eastAsia" w:eastAsia="仿宋_GB2312"/>
          <w:kern w:val="0"/>
          <w:sz w:val="32"/>
          <w:szCs w:val="32"/>
        </w:rPr>
        <w:t>市体育局</w:t>
      </w:r>
      <w:r>
        <w:rPr>
          <w:rFonts w:eastAsia="仿宋_GB2312"/>
          <w:kern w:val="0"/>
          <w:sz w:val="32"/>
          <w:szCs w:val="32"/>
        </w:rPr>
        <w:t>会同市财政局积极组织项目申报并做好评审论证等工作，严格按照办法规定的使用范围、支出方向和用途分配资金。结合单位申报的资金需求，根据年初预算安排，及时分解下达资金预算</w:t>
      </w:r>
      <w:r>
        <w:rPr>
          <w:rFonts w:hint="eastAsia" w:eastAsia="仿宋_GB2312"/>
          <w:kern w:val="0"/>
          <w:sz w:val="32"/>
          <w:szCs w:val="32"/>
        </w:rPr>
        <w:t>。严格按照国库集中支付制度有关规定，</w:t>
      </w:r>
      <w:r>
        <w:rPr>
          <w:rFonts w:eastAsia="仿宋_GB2312"/>
          <w:kern w:val="0"/>
          <w:sz w:val="32"/>
          <w:szCs w:val="32"/>
        </w:rPr>
        <w:t>对项目资金申请材料进行严格审核，</w:t>
      </w:r>
      <w:r>
        <w:rPr>
          <w:rFonts w:hint="eastAsia" w:eastAsia="仿宋_GB2312"/>
          <w:kern w:val="0"/>
          <w:sz w:val="32"/>
          <w:szCs w:val="32"/>
        </w:rPr>
        <w:t>按照</w:t>
      </w:r>
      <w:r>
        <w:rPr>
          <w:rFonts w:eastAsia="仿宋_GB2312"/>
          <w:kern w:val="0"/>
          <w:sz w:val="32"/>
          <w:szCs w:val="32"/>
        </w:rPr>
        <w:t>项目建设进度</w:t>
      </w:r>
      <w:r>
        <w:rPr>
          <w:rFonts w:hint="eastAsia" w:eastAsia="仿宋_GB2312"/>
          <w:kern w:val="0"/>
          <w:sz w:val="32"/>
          <w:szCs w:val="32"/>
        </w:rPr>
        <w:t>，</w:t>
      </w:r>
      <w:r>
        <w:rPr>
          <w:rFonts w:eastAsia="仿宋_GB2312"/>
          <w:kern w:val="0"/>
          <w:sz w:val="32"/>
          <w:szCs w:val="32"/>
        </w:rPr>
        <w:t>及时拨付中央补助资金，积极履行本级支出责任。定期督促资金使用单位加快支出进度，严格按照规定用途使用，并加强资金的全过程绩效管理，切实发挥资金使用效益。</w:t>
      </w:r>
    </w:p>
    <w:p w14:paraId="0105FFF4">
      <w:pPr>
        <w:spacing w:line="360" w:lineRule="auto"/>
        <w:ind w:firstLine="640" w:firstLineChars="20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（三）总体绩效目标完成情况分析</w:t>
      </w:r>
    </w:p>
    <w:p w14:paraId="3159546E">
      <w:pPr>
        <w:spacing w:line="360" w:lineRule="auto"/>
        <w:ind w:firstLine="640" w:firstLineChars="200"/>
        <w:rPr>
          <w:rFonts w:hint="eastAsia" w:cs="Times New Roman"/>
          <w:sz w:val="32"/>
          <w:szCs w:val="32"/>
          <w:lang w:val="en-US" w:eastAsia="zh-CN"/>
        </w:rPr>
      </w:pPr>
      <w:r>
        <w:rPr>
          <w:rFonts w:hint="eastAsia" w:cs="Times New Roman"/>
          <w:sz w:val="32"/>
          <w:szCs w:val="32"/>
          <w:lang w:val="en-US" w:eastAsia="zh-CN"/>
        </w:rPr>
        <w:t>2024年，滨海新区完成了社区户外微场地、多功能运动场、健身步道等全民健身场地设施的采购和建设工作。同时，完成了汉沽体育场维修改造工程设计、招标，及施工、监理合同签订。宁河区完成了西堤柳岸体育公园的羽毛球场和健身步道建设，新建了篮球场、乒乓球场和广场器械。通过实施全民健身场地设施建设，有效改善革命老区公共体育设施条件，群众身边的体育设施日益丰富，日益增长的多元化体育需求不断得到满足，公共体育服务的便利化多样化得到有效提升。</w:t>
      </w:r>
    </w:p>
    <w:p w14:paraId="714C8344">
      <w:pPr>
        <w:spacing w:line="360" w:lineRule="auto"/>
        <w:ind w:firstLine="640" w:firstLineChars="20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（四）绩效指标完成情况分析</w:t>
      </w:r>
    </w:p>
    <w:p w14:paraId="2DF603D7">
      <w:pPr>
        <w:spacing w:line="360" w:lineRule="auto"/>
        <w:ind w:firstLine="643"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rPr>
        <w:t>1.数量指标</w:t>
      </w:r>
      <w:r>
        <w:rPr>
          <w:rFonts w:hint="default" w:ascii="Times New Roman" w:hAnsi="Times New Roman" w:eastAsia="仿宋" w:cs="Times New Roman"/>
          <w:color w:val="auto"/>
          <w:sz w:val="32"/>
          <w:szCs w:val="32"/>
          <w:lang w:eastAsia="zh-CN"/>
        </w:rPr>
        <w:t>。</w:t>
      </w:r>
    </w:p>
    <w:p w14:paraId="006B168D">
      <w:pPr>
        <w:spacing w:line="600" w:lineRule="exact"/>
        <w:ind w:firstLine="640" w:firstLineChars="200"/>
        <w:rPr>
          <w:rFonts w:eastAsia="仿宋_GB2312"/>
          <w:sz w:val="32"/>
          <w:szCs w:val="32"/>
        </w:rPr>
      </w:pP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1</w:t>
      </w:r>
      <w:r>
        <w:rPr>
          <w:rFonts w:hint="eastAsia" w:eastAsia="仿宋" w:cs="Times New Roman"/>
          <w:color w:val="auto"/>
          <w:sz w:val="32"/>
          <w:szCs w:val="32"/>
          <w:lang w:eastAsia="zh-CN"/>
        </w:rPr>
        <w:t>）</w:t>
      </w:r>
      <w:r>
        <w:rPr>
          <w:rFonts w:eastAsia="仿宋_GB2312"/>
          <w:sz w:val="32"/>
          <w:szCs w:val="32"/>
        </w:rPr>
        <w:t>指标值为</w:t>
      </w:r>
      <w:r>
        <w:rPr>
          <w:rFonts w:hint="eastAsia" w:eastAsia="仿宋" w:cs="Times New Roman"/>
          <w:color w:val="auto"/>
          <w:sz w:val="32"/>
          <w:szCs w:val="32"/>
          <w:lang w:eastAsia="zh-CN"/>
        </w:rPr>
        <w:t>项目数量≥</w:t>
      </w:r>
      <w:r>
        <w:rPr>
          <w:rFonts w:hint="eastAsia" w:eastAsia="仿宋" w:cs="Times New Roman"/>
          <w:color w:val="auto"/>
          <w:sz w:val="32"/>
          <w:szCs w:val="32"/>
          <w:lang w:val="en-US" w:eastAsia="zh-CN"/>
        </w:rPr>
        <w:t>5个。</w:t>
      </w:r>
      <w:r>
        <w:rPr>
          <w:rFonts w:eastAsia="仿宋_GB2312"/>
          <w:sz w:val="32"/>
          <w:szCs w:val="32"/>
        </w:rPr>
        <w:t>202</w:t>
      </w:r>
      <w:r>
        <w:rPr>
          <w:rFonts w:hint="eastAsia" w:eastAsia="仿宋_GB2312"/>
          <w:sz w:val="32"/>
          <w:szCs w:val="32"/>
        </w:rPr>
        <w:t>4</w:t>
      </w:r>
      <w:r>
        <w:rPr>
          <w:rFonts w:eastAsia="仿宋_GB2312"/>
          <w:sz w:val="32"/>
          <w:szCs w:val="32"/>
        </w:rPr>
        <w:t>年专项资金实际资助</w:t>
      </w:r>
      <w:r>
        <w:rPr>
          <w:rFonts w:hint="eastAsia" w:eastAsia="仿宋_GB2312"/>
          <w:sz w:val="32"/>
          <w:szCs w:val="32"/>
        </w:rPr>
        <w:t>完成4个项目，分别是滨海新区户外微场地、多功能运动场、健身步道各1个，宁河区西堤柳岸体育公园1个</w:t>
      </w:r>
      <w:r>
        <w:rPr>
          <w:rFonts w:hint="eastAsia"/>
          <w:sz w:val="32"/>
          <w:szCs w:val="32"/>
          <w:lang w:eastAsia="zh-CN"/>
        </w:rPr>
        <w:t>。</w:t>
      </w:r>
      <w:r>
        <w:rPr>
          <w:rFonts w:hint="eastAsia" w:eastAsia="仿宋_GB2312"/>
          <w:sz w:val="32"/>
          <w:szCs w:val="32"/>
        </w:rPr>
        <w:t>汉沽体育场提升改造2024年底已完成工程设计、招标、合同签订等工作，目前正在施工，预计2025年底前完成，</w:t>
      </w:r>
      <w:r>
        <w:rPr>
          <w:rFonts w:hint="eastAsia"/>
          <w:sz w:val="32"/>
          <w:szCs w:val="32"/>
          <w:lang w:eastAsia="zh-CN"/>
        </w:rPr>
        <w:t>基本</w:t>
      </w:r>
      <w:r>
        <w:rPr>
          <w:rFonts w:hint="eastAsia" w:eastAsia="仿宋_GB2312"/>
          <w:sz w:val="32"/>
          <w:szCs w:val="32"/>
        </w:rPr>
        <w:t>达成预期目标</w:t>
      </w:r>
      <w:r>
        <w:rPr>
          <w:rFonts w:eastAsia="仿宋_GB2312"/>
          <w:sz w:val="32"/>
          <w:szCs w:val="32"/>
        </w:rPr>
        <w:t>。</w:t>
      </w:r>
    </w:p>
    <w:p w14:paraId="2A8C1CDC">
      <w:pPr>
        <w:ind w:firstLine="640" w:firstLineChars="200"/>
        <w:rPr>
          <w:rFonts w:eastAsia="仿宋_GB2312"/>
          <w:sz w:val="32"/>
          <w:szCs w:val="32"/>
        </w:rPr>
      </w:pPr>
      <w:r>
        <w:rPr>
          <w:rFonts w:hint="eastAsia" w:cs="Times New Roman"/>
          <w:sz w:val="32"/>
          <w:szCs w:val="32"/>
          <w:lang w:val="en-US" w:eastAsia="zh-CN"/>
        </w:rPr>
        <w:t>（2）</w:t>
      </w:r>
      <w:r>
        <w:rPr>
          <w:rFonts w:eastAsia="仿宋_GB2312"/>
          <w:sz w:val="32"/>
          <w:szCs w:val="32"/>
        </w:rPr>
        <w:t>指标值为</w:t>
      </w:r>
      <w:r>
        <w:rPr>
          <w:rFonts w:hint="eastAsia" w:eastAsia="仿宋_GB2312"/>
          <w:sz w:val="32"/>
          <w:szCs w:val="32"/>
        </w:rPr>
        <w:t>提升全民健身设施数量</w:t>
      </w:r>
      <w:r>
        <w:rPr>
          <w:rFonts w:hint="eastAsia" w:ascii="东文宋体" w:hAnsi="东文宋体" w:eastAsia="东文宋体" w:cs="东文宋体"/>
          <w:sz w:val="32"/>
          <w:szCs w:val="32"/>
        </w:rPr>
        <w:t>≥</w:t>
      </w:r>
      <w:r>
        <w:rPr>
          <w:rFonts w:hint="eastAsia" w:eastAsia="仿宋_GB2312"/>
          <w:sz w:val="32"/>
          <w:szCs w:val="32"/>
        </w:rPr>
        <w:t>20个</w:t>
      </w:r>
      <w:r>
        <w:rPr>
          <w:rFonts w:eastAsia="仿宋_GB2312"/>
          <w:sz w:val="32"/>
          <w:szCs w:val="32"/>
        </w:rPr>
        <w:t>。202</w:t>
      </w:r>
      <w:r>
        <w:rPr>
          <w:rFonts w:hint="eastAsia" w:eastAsia="仿宋_GB2312"/>
          <w:sz w:val="32"/>
          <w:szCs w:val="32"/>
        </w:rPr>
        <w:t>4</w:t>
      </w:r>
      <w:r>
        <w:rPr>
          <w:rFonts w:eastAsia="仿宋_GB2312"/>
          <w:sz w:val="32"/>
          <w:szCs w:val="32"/>
        </w:rPr>
        <w:t>年专项资金实际资助</w:t>
      </w:r>
      <w:r>
        <w:rPr>
          <w:rFonts w:hint="eastAsia" w:eastAsia="仿宋_GB2312"/>
          <w:sz w:val="32"/>
          <w:szCs w:val="32"/>
        </w:rPr>
        <w:t>完成19个，分别是滨海新区户外微场地器材10套、多功能运动场7个、健身步道1个，宁河区西堤柳岸体育公园1个</w:t>
      </w:r>
      <w:r>
        <w:rPr>
          <w:rFonts w:hint="eastAsia"/>
          <w:sz w:val="32"/>
          <w:szCs w:val="32"/>
          <w:lang w:eastAsia="zh-CN"/>
        </w:rPr>
        <w:t>。</w:t>
      </w:r>
      <w:r>
        <w:rPr>
          <w:rFonts w:hint="eastAsia" w:eastAsia="仿宋_GB2312"/>
          <w:sz w:val="32"/>
          <w:szCs w:val="32"/>
        </w:rPr>
        <w:t>汉沽体育场提升改造2024年底已完成工程设计、招标、合同签订等工作，目前正在施工，预计2025年底前完成，</w:t>
      </w:r>
      <w:r>
        <w:rPr>
          <w:rFonts w:hint="eastAsia"/>
          <w:sz w:val="32"/>
          <w:szCs w:val="32"/>
          <w:lang w:eastAsia="zh-CN"/>
        </w:rPr>
        <w:t>基本</w:t>
      </w:r>
      <w:r>
        <w:rPr>
          <w:rFonts w:hint="eastAsia" w:eastAsia="仿宋_GB2312"/>
          <w:sz w:val="32"/>
          <w:szCs w:val="32"/>
        </w:rPr>
        <w:t>达成预期目标</w:t>
      </w:r>
      <w:r>
        <w:rPr>
          <w:rFonts w:eastAsia="仿宋_GB2312"/>
          <w:sz w:val="32"/>
          <w:szCs w:val="32"/>
        </w:rPr>
        <w:t>。</w:t>
      </w:r>
    </w:p>
    <w:p w14:paraId="78E7E94F">
      <w:pPr>
        <w:spacing w:line="360" w:lineRule="auto"/>
        <w:ind w:firstLine="640" w:firstLineChars="200"/>
        <w:rPr>
          <w:rFonts w:hint="eastAsia" w:cs="Times New Roman"/>
          <w:sz w:val="32"/>
          <w:szCs w:val="32"/>
          <w:lang w:val="en-US" w:eastAsia="zh-CN"/>
        </w:rPr>
      </w:pPr>
      <w:r>
        <w:rPr>
          <w:rFonts w:hint="eastAsia" w:cs="Times New Roman"/>
          <w:sz w:val="32"/>
          <w:szCs w:val="32"/>
          <w:lang w:val="en-US" w:eastAsia="zh-CN"/>
        </w:rPr>
        <w:t>（3）指标值为直接受益人数≥20万人。</w:t>
      </w:r>
      <w:r>
        <w:rPr>
          <w:rFonts w:eastAsia="仿宋_GB2312"/>
          <w:sz w:val="32"/>
          <w:szCs w:val="32"/>
        </w:rPr>
        <w:t>202</w:t>
      </w:r>
      <w:r>
        <w:rPr>
          <w:rFonts w:hint="eastAsia" w:eastAsia="仿宋_GB2312"/>
          <w:sz w:val="32"/>
          <w:szCs w:val="32"/>
        </w:rPr>
        <w:t>4</w:t>
      </w:r>
      <w:r>
        <w:rPr>
          <w:rFonts w:eastAsia="仿宋_GB2312"/>
          <w:sz w:val="32"/>
          <w:szCs w:val="32"/>
        </w:rPr>
        <w:t>年专项资金实际资助</w:t>
      </w:r>
      <w:r>
        <w:rPr>
          <w:rFonts w:hint="eastAsia" w:eastAsia="仿宋_GB2312"/>
          <w:sz w:val="32"/>
          <w:szCs w:val="32"/>
        </w:rPr>
        <w:t>完成</w:t>
      </w:r>
      <w:r>
        <w:rPr>
          <w:rFonts w:hint="eastAsia" w:cs="Times New Roman"/>
          <w:sz w:val="32"/>
          <w:szCs w:val="32"/>
          <w:lang w:val="en-US" w:eastAsia="zh-CN"/>
        </w:rPr>
        <w:t>20万人。其中，滨海新区直接受益人数15万人、宁河区直接受益人数5万人，达成预期目标。</w:t>
      </w:r>
    </w:p>
    <w:p w14:paraId="54B837A0">
      <w:pPr>
        <w:spacing w:line="360" w:lineRule="auto"/>
        <w:ind w:firstLine="640" w:firstLineChars="200"/>
        <w:rPr>
          <w:rFonts w:hint="default" w:cs="Times New Roman"/>
          <w:sz w:val="32"/>
          <w:szCs w:val="32"/>
          <w:lang w:val="en-US" w:eastAsia="zh-CN"/>
        </w:rPr>
      </w:pPr>
      <w:r>
        <w:rPr>
          <w:rFonts w:hint="eastAsia" w:cs="Times New Roman"/>
          <w:sz w:val="32"/>
          <w:szCs w:val="32"/>
          <w:lang w:val="en-US" w:eastAsia="zh-CN"/>
        </w:rPr>
        <w:t>（4）指标值为增加公益性项目面积≥8600㎡。2024年滨海新区和宁河区全民建设设施已完工项目实际增加公益性项目面积8600㎡。其中，滨海新区增加公益性项目面积6000㎡、宁河区增加公益性项目面积2600㎡，达成预期目标。</w:t>
      </w:r>
    </w:p>
    <w:p w14:paraId="2E0615EA">
      <w:pPr>
        <w:spacing w:line="360" w:lineRule="auto"/>
        <w:ind w:firstLine="643"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2.质量指标</w:t>
      </w:r>
      <w:r>
        <w:rPr>
          <w:rFonts w:hint="default" w:ascii="Times New Roman" w:hAnsi="Times New Roman" w:eastAsia="仿宋" w:cs="Times New Roman"/>
          <w:b/>
          <w:bCs/>
          <w:color w:val="auto"/>
          <w:sz w:val="32"/>
          <w:szCs w:val="32"/>
          <w:lang w:eastAsia="zh-CN"/>
        </w:rPr>
        <w:t>。</w:t>
      </w:r>
    </w:p>
    <w:p w14:paraId="47B4EDED">
      <w:pPr>
        <w:spacing w:line="360" w:lineRule="auto"/>
        <w:ind w:firstLine="640" w:firstLineChars="200"/>
        <w:rPr>
          <w:rFonts w:eastAsia="仿宋_GB2312"/>
          <w:sz w:val="32"/>
          <w:szCs w:val="32"/>
        </w:rPr>
      </w:pPr>
      <w:r>
        <w:rPr>
          <w:rFonts w:eastAsia="仿宋_GB2312"/>
          <w:sz w:val="32"/>
          <w:szCs w:val="32"/>
        </w:rPr>
        <w:t>项目规划编制</w:t>
      </w:r>
      <w:r>
        <w:rPr>
          <w:rFonts w:hint="eastAsia" w:eastAsia="仿宋_GB2312"/>
          <w:sz w:val="32"/>
          <w:szCs w:val="32"/>
        </w:rPr>
        <w:t>实施前经过了</w:t>
      </w:r>
      <w:r>
        <w:rPr>
          <w:rFonts w:hint="eastAsia" w:eastAsia="仿宋"/>
          <w:sz w:val="32"/>
          <w:szCs w:val="32"/>
        </w:rPr>
        <w:t>相关审批程序，通过了</w:t>
      </w:r>
      <w:r>
        <w:rPr>
          <w:rFonts w:eastAsia="仿宋_GB2312"/>
          <w:sz w:val="32"/>
          <w:szCs w:val="32"/>
        </w:rPr>
        <w:t>完整性、合规性</w:t>
      </w:r>
      <w:r>
        <w:rPr>
          <w:rFonts w:hint="eastAsia" w:eastAsia="仿宋_GB2312"/>
          <w:sz w:val="32"/>
          <w:szCs w:val="32"/>
        </w:rPr>
        <w:t>审查，</w:t>
      </w:r>
      <w:r>
        <w:rPr>
          <w:rFonts w:hint="eastAsia" w:eastAsia="仿宋"/>
          <w:sz w:val="32"/>
          <w:szCs w:val="32"/>
        </w:rPr>
        <w:t>实施过程中全部按规定</w:t>
      </w:r>
      <w:r>
        <w:rPr>
          <w:rFonts w:eastAsia="仿宋"/>
          <w:sz w:val="32"/>
          <w:szCs w:val="32"/>
        </w:rPr>
        <w:t>标注了彩票公益</w:t>
      </w:r>
      <w:r>
        <w:rPr>
          <w:rFonts w:hint="eastAsia" w:eastAsia="仿宋"/>
          <w:sz w:val="32"/>
          <w:szCs w:val="32"/>
        </w:rPr>
        <w:t>金资助</w:t>
      </w:r>
      <w:r>
        <w:rPr>
          <w:rFonts w:eastAsia="仿宋"/>
          <w:sz w:val="32"/>
          <w:szCs w:val="32"/>
        </w:rPr>
        <w:t>标识</w:t>
      </w:r>
      <w:r>
        <w:rPr>
          <w:rFonts w:hint="eastAsia" w:eastAsia="仿宋"/>
          <w:sz w:val="32"/>
          <w:szCs w:val="32"/>
        </w:rPr>
        <w:t>。</w:t>
      </w:r>
    </w:p>
    <w:p w14:paraId="35C703F0">
      <w:pPr>
        <w:spacing w:line="360" w:lineRule="auto"/>
        <w:ind w:firstLine="643" w:firstLineChars="200"/>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rPr>
        <w:t>3.时效指标</w:t>
      </w:r>
      <w:r>
        <w:rPr>
          <w:rFonts w:hint="default" w:ascii="Times New Roman" w:hAnsi="Times New Roman" w:eastAsia="仿宋" w:cs="Times New Roman"/>
          <w:b/>
          <w:bCs/>
          <w:color w:val="auto"/>
          <w:sz w:val="32"/>
          <w:szCs w:val="32"/>
          <w:highlight w:val="none"/>
          <w:lang w:eastAsia="zh-CN"/>
        </w:rPr>
        <w:t>。</w:t>
      </w:r>
    </w:p>
    <w:p w14:paraId="7C8084DC">
      <w:pPr>
        <w:spacing w:line="600" w:lineRule="exact"/>
        <w:ind w:firstLine="640" w:firstLineChars="200"/>
        <w:rPr>
          <w:rFonts w:eastAsia="仿宋_GB2312"/>
          <w:sz w:val="32"/>
          <w:szCs w:val="32"/>
          <w:highlight w:val="yellow"/>
        </w:rPr>
      </w:pPr>
      <w:r>
        <w:rPr>
          <w:rFonts w:hint="eastAsia"/>
          <w:sz w:val="32"/>
          <w:szCs w:val="32"/>
          <w:highlight w:val="none"/>
          <w:lang w:eastAsia="zh-CN"/>
        </w:rPr>
        <w:t>除</w:t>
      </w:r>
      <w:r>
        <w:rPr>
          <w:rFonts w:hint="eastAsia" w:eastAsia="仿宋_GB2312"/>
          <w:sz w:val="32"/>
          <w:szCs w:val="32"/>
          <w:highlight w:val="none"/>
        </w:rPr>
        <w:t>汉沽体育场提升改造</w:t>
      </w:r>
      <w:r>
        <w:rPr>
          <w:rFonts w:hint="eastAsia"/>
          <w:sz w:val="32"/>
          <w:szCs w:val="32"/>
          <w:highlight w:val="none"/>
          <w:lang w:eastAsia="zh-CN"/>
        </w:rPr>
        <w:t>项目已完成前期</w:t>
      </w:r>
      <w:r>
        <w:rPr>
          <w:rFonts w:hint="eastAsia" w:eastAsia="仿宋_GB2312"/>
          <w:sz w:val="32"/>
          <w:szCs w:val="32"/>
          <w:highlight w:val="none"/>
        </w:rPr>
        <w:t>采购招标</w:t>
      </w:r>
      <w:r>
        <w:rPr>
          <w:rFonts w:hint="eastAsia"/>
          <w:sz w:val="32"/>
          <w:szCs w:val="32"/>
          <w:highlight w:val="none"/>
          <w:lang w:eastAsia="zh-CN"/>
        </w:rPr>
        <w:t>，目前正在施工外</w:t>
      </w:r>
      <w:r>
        <w:rPr>
          <w:rFonts w:hint="eastAsia" w:eastAsia="仿宋_GB2312"/>
          <w:sz w:val="32"/>
          <w:szCs w:val="32"/>
          <w:highlight w:val="none"/>
        </w:rPr>
        <w:t>。</w:t>
      </w:r>
      <w:r>
        <w:rPr>
          <w:rFonts w:eastAsia="仿宋_GB2312"/>
          <w:sz w:val="32"/>
          <w:szCs w:val="32"/>
          <w:highlight w:val="none"/>
        </w:rPr>
        <w:t>按时上报资金使用情况</w:t>
      </w:r>
      <w:r>
        <w:rPr>
          <w:rFonts w:hint="eastAsia" w:eastAsia="仿宋_GB2312"/>
          <w:sz w:val="32"/>
          <w:szCs w:val="32"/>
          <w:highlight w:val="none"/>
        </w:rPr>
        <w:t>、</w:t>
      </w:r>
      <w:r>
        <w:rPr>
          <w:rFonts w:eastAsia="仿宋_GB2312"/>
          <w:sz w:val="32"/>
          <w:szCs w:val="32"/>
          <w:highlight w:val="none"/>
        </w:rPr>
        <w:t>按时向社会公告项目实施情况</w:t>
      </w:r>
      <w:r>
        <w:rPr>
          <w:rFonts w:hint="eastAsia" w:eastAsia="仿宋_GB2312"/>
          <w:sz w:val="32"/>
          <w:szCs w:val="32"/>
          <w:highlight w:val="none"/>
        </w:rPr>
        <w:t>等，</w:t>
      </w:r>
      <w:bookmarkStart w:id="0" w:name="_GoBack"/>
      <w:bookmarkEnd w:id="0"/>
      <w:r>
        <w:rPr>
          <w:rFonts w:hint="eastAsia" w:eastAsia="仿宋_GB2312"/>
          <w:sz w:val="32"/>
          <w:szCs w:val="32"/>
          <w:highlight w:val="none"/>
        </w:rPr>
        <w:t>均</w:t>
      </w:r>
      <w:r>
        <w:rPr>
          <w:rFonts w:eastAsia="仿宋_GB2312"/>
          <w:sz w:val="32"/>
          <w:szCs w:val="32"/>
          <w:highlight w:val="none"/>
        </w:rPr>
        <w:t>达成预期指标。</w:t>
      </w:r>
    </w:p>
    <w:p w14:paraId="7E2B3D03">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仿宋" w:cs="Times New Roman"/>
          <w:b/>
          <w:bCs/>
          <w:color w:val="auto"/>
          <w:sz w:val="32"/>
          <w:szCs w:val="32"/>
          <w:lang w:eastAsia="zh-CN"/>
        </w:rPr>
      </w:pPr>
      <w:r>
        <w:rPr>
          <w:rFonts w:hint="eastAsia" w:eastAsia="仿宋" w:cs="Times New Roman"/>
          <w:b/>
          <w:bCs/>
          <w:color w:val="auto"/>
          <w:sz w:val="32"/>
          <w:szCs w:val="32"/>
          <w:lang w:val="en-US" w:eastAsia="zh-CN"/>
        </w:rPr>
        <w:t>4.</w:t>
      </w:r>
      <w:r>
        <w:rPr>
          <w:rFonts w:hint="default" w:ascii="Times New Roman" w:hAnsi="Times New Roman" w:eastAsia="仿宋" w:cs="Times New Roman"/>
          <w:b/>
          <w:bCs/>
          <w:color w:val="auto"/>
          <w:sz w:val="32"/>
          <w:szCs w:val="32"/>
        </w:rPr>
        <w:t>社会效益指标</w:t>
      </w:r>
      <w:r>
        <w:rPr>
          <w:rFonts w:hint="eastAsia" w:eastAsia="仿宋" w:cs="Times New Roman"/>
          <w:b/>
          <w:bCs/>
          <w:color w:val="auto"/>
          <w:sz w:val="32"/>
          <w:szCs w:val="32"/>
          <w:lang w:eastAsia="zh-CN"/>
        </w:rPr>
        <w:t>。</w:t>
      </w:r>
    </w:p>
    <w:p w14:paraId="2EC59DC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cs="Times New Roman"/>
          <w:sz w:val="32"/>
          <w:szCs w:val="32"/>
          <w:lang w:val="en-US" w:eastAsia="zh-CN"/>
        </w:rPr>
      </w:pPr>
      <w:r>
        <w:rPr>
          <w:rFonts w:hint="eastAsia" w:ascii="Times New Roman" w:hAnsi="Times New Roman" w:cs="Times New Roman"/>
          <w:sz w:val="32"/>
          <w:szCs w:val="32"/>
          <w:lang w:val="en-US" w:eastAsia="zh-CN"/>
        </w:rPr>
        <w:t>（1）有效提升了对全民健身服务体系建设促进作用。</w:t>
      </w:r>
      <w:r>
        <w:rPr>
          <w:rFonts w:hint="eastAsia" w:cs="Times New Roman"/>
          <w:sz w:val="32"/>
          <w:szCs w:val="32"/>
          <w:lang w:val="en-US" w:eastAsia="zh-CN"/>
        </w:rPr>
        <w:t>以上项目的建设，均属于各区</w:t>
      </w:r>
      <w:r>
        <w:rPr>
          <w:rFonts w:hint="eastAsia" w:ascii="Times New Roman" w:hAnsi="Times New Roman" w:cs="Times New Roman"/>
          <w:sz w:val="32"/>
          <w:szCs w:val="32"/>
          <w:lang w:val="en-US" w:eastAsia="zh-CN"/>
        </w:rPr>
        <w:t>全民健身服务体系</w:t>
      </w:r>
      <w:r>
        <w:rPr>
          <w:rFonts w:hint="eastAsia" w:cs="Times New Roman"/>
          <w:sz w:val="32"/>
          <w:szCs w:val="32"/>
          <w:lang w:val="en-US" w:eastAsia="zh-CN"/>
        </w:rPr>
        <w:t>的</w:t>
      </w:r>
      <w:r>
        <w:rPr>
          <w:rFonts w:hint="eastAsia" w:ascii="Times New Roman" w:hAnsi="Times New Roman" w:cs="Times New Roman"/>
          <w:sz w:val="32"/>
          <w:szCs w:val="32"/>
          <w:lang w:val="en-US" w:eastAsia="zh-CN"/>
        </w:rPr>
        <w:t>建设</w:t>
      </w:r>
      <w:r>
        <w:rPr>
          <w:rFonts w:hint="eastAsia" w:cs="Times New Roman"/>
          <w:sz w:val="32"/>
          <w:szCs w:val="32"/>
          <w:lang w:val="en-US" w:eastAsia="zh-CN"/>
        </w:rPr>
        <w:t>范围。项目的建成和投入使用，对于滨海和宁河的</w:t>
      </w:r>
      <w:r>
        <w:rPr>
          <w:rFonts w:hint="eastAsia" w:ascii="Times New Roman" w:hAnsi="Times New Roman" w:cs="Times New Roman"/>
          <w:sz w:val="32"/>
          <w:szCs w:val="32"/>
          <w:lang w:val="en-US" w:eastAsia="zh-CN"/>
        </w:rPr>
        <w:t>全民健身服务体系建设</w:t>
      </w:r>
      <w:r>
        <w:rPr>
          <w:rFonts w:hint="eastAsia" w:cs="Times New Roman"/>
          <w:sz w:val="32"/>
          <w:szCs w:val="32"/>
          <w:lang w:val="en-US" w:eastAsia="zh-CN"/>
        </w:rPr>
        <w:t>起到了积极的促进作用。</w:t>
      </w:r>
    </w:p>
    <w:p w14:paraId="7BC01DD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（2）</w:t>
      </w:r>
      <w:r>
        <w:rPr>
          <w:rFonts w:hint="eastAsia" w:ascii="Times New Roman" w:hAnsi="Times New Roman" w:cs="Times New Roman"/>
          <w:sz w:val="32"/>
          <w:szCs w:val="32"/>
          <w:lang w:val="en-US" w:eastAsia="zh-CN"/>
        </w:rPr>
        <w:t>有效提升了</w:t>
      </w:r>
      <w:r>
        <w:rPr>
          <w:rFonts w:hint="eastAsia" w:cs="Times New Roman"/>
          <w:sz w:val="32"/>
          <w:szCs w:val="32"/>
          <w:lang w:val="en-US" w:eastAsia="zh-CN"/>
        </w:rPr>
        <w:t>属地群众健身便利化程度。两个区选定的建设区域辐射人群较广，据测算，每天可接待健身人群3000人次左右，同时，也极大地提高了属地群众健身便利化程度。</w:t>
      </w:r>
    </w:p>
    <w:p w14:paraId="4CEB2A80">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cs="Times New Roman"/>
          <w:sz w:val="32"/>
          <w:szCs w:val="32"/>
          <w:lang w:val="en-US" w:eastAsia="zh-CN"/>
        </w:rPr>
      </w:pPr>
      <w:r>
        <w:rPr>
          <w:rFonts w:hint="eastAsia" w:eastAsia="仿宋" w:cs="Times New Roman"/>
          <w:b/>
          <w:bCs/>
          <w:color w:val="auto"/>
          <w:sz w:val="32"/>
          <w:szCs w:val="32"/>
          <w:lang w:val="en-US" w:eastAsia="zh-CN"/>
        </w:rPr>
        <w:t>5.可持续影响指标。</w:t>
      </w:r>
    </w:p>
    <w:p w14:paraId="4EF2EB5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（1）</w:t>
      </w:r>
      <w:r>
        <w:rPr>
          <w:rFonts w:hint="eastAsia" w:ascii="Times New Roman" w:hAnsi="Times New Roman" w:cs="Times New Roman"/>
          <w:sz w:val="32"/>
          <w:szCs w:val="32"/>
          <w:lang w:val="en-US" w:eastAsia="zh-CN"/>
        </w:rPr>
        <w:t>有效提升了</w:t>
      </w:r>
      <w:r>
        <w:rPr>
          <w:rFonts w:hint="eastAsia" w:cs="Times New Roman"/>
          <w:sz w:val="32"/>
          <w:szCs w:val="32"/>
          <w:lang w:val="en-US" w:eastAsia="zh-CN"/>
        </w:rPr>
        <w:t>社会公益机构的服务能力和水平。社会公益机构服务能力和水平是</w:t>
      </w:r>
      <w:r>
        <w:rPr>
          <w:rFonts w:hint="eastAsia" w:ascii="Times New Roman" w:hAnsi="Times New Roman" w:cs="Times New Roman"/>
          <w:sz w:val="32"/>
          <w:szCs w:val="32"/>
          <w:lang w:val="en-US" w:eastAsia="zh-CN"/>
        </w:rPr>
        <w:t>全民健身服务体系建设</w:t>
      </w:r>
      <w:r>
        <w:rPr>
          <w:rFonts w:hint="eastAsia" w:cs="Times New Roman"/>
          <w:sz w:val="32"/>
          <w:szCs w:val="32"/>
          <w:lang w:val="en-US" w:eastAsia="zh-CN"/>
        </w:rPr>
        <w:t>的组成部分。全民健身场地设施的不断增加，社会公益机构也积极地进行参与，服务能力和水平也得到了有效提升。</w:t>
      </w:r>
    </w:p>
    <w:p w14:paraId="6933AE1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cs="Times New Roman"/>
          <w:sz w:val="32"/>
          <w:szCs w:val="32"/>
          <w:lang w:val="en-US" w:eastAsia="zh-CN"/>
        </w:rPr>
      </w:pPr>
      <w:r>
        <w:rPr>
          <w:rFonts w:hint="eastAsia" w:cs="Times New Roman"/>
          <w:sz w:val="32"/>
          <w:szCs w:val="32"/>
          <w:lang w:val="en-US" w:eastAsia="zh-CN"/>
        </w:rPr>
        <w:t>（2）文体设施服务年限≥3年，全年实际完成8年。按照已签订合同（协议），已建成的体育场地设施的质保年限均不低于8年。</w:t>
      </w:r>
    </w:p>
    <w:p w14:paraId="60AAA3E0">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rPr>
        <w:t>服务对象满意度指标</w:t>
      </w:r>
      <w:r>
        <w:rPr>
          <w:rFonts w:hint="default" w:ascii="Times New Roman" w:hAnsi="Times New Roman" w:eastAsia="仿宋" w:cs="Times New Roman"/>
          <w:b/>
          <w:bCs/>
          <w:color w:val="auto"/>
          <w:sz w:val="32"/>
          <w:szCs w:val="32"/>
          <w:lang w:eastAsia="zh-CN"/>
        </w:rPr>
        <w:t>。</w:t>
      </w:r>
    </w:p>
    <w:p w14:paraId="486C849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受益人群满意度≥90%</w:t>
      </w:r>
      <w:r>
        <w:rPr>
          <w:rFonts w:hint="eastAsia" w:cs="Times New Roman"/>
          <w:sz w:val="32"/>
          <w:szCs w:val="32"/>
          <w:lang w:val="en-US" w:eastAsia="zh-CN"/>
        </w:rPr>
        <w:t>，全年实际完成95%。新建的全民健身场地设施，</w:t>
      </w:r>
      <w:r>
        <w:rPr>
          <w:rFonts w:hint="eastAsia" w:ascii="Times New Roman" w:hAnsi="Times New Roman" w:cs="Times New Roman"/>
          <w:sz w:val="32"/>
          <w:szCs w:val="32"/>
          <w:lang w:val="en-US" w:eastAsia="zh-CN"/>
        </w:rPr>
        <w:t>为周边街镇居民提供更优质更完善的健身运动场地，满足了人民群众的健身生活需求，受到了群众百姓的一致好评。</w:t>
      </w:r>
      <w:r>
        <w:rPr>
          <w:rFonts w:hint="eastAsia" w:cs="Times New Roman"/>
          <w:sz w:val="32"/>
          <w:szCs w:val="32"/>
          <w:lang w:val="en-US" w:eastAsia="zh-CN"/>
        </w:rPr>
        <w:t>根据两个区下发满意度调查问卷显示，群众对于新建场地设施的满意度达到95%。</w:t>
      </w:r>
    </w:p>
    <w:p w14:paraId="58E6D978">
      <w:pPr>
        <w:snapToGrid w:val="0"/>
        <w:spacing w:line="580" w:lineRule="exact"/>
        <w:ind w:firstLine="640" w:firstLineChars="200"/>
        <w:outlineLvl w:val="0"/>
        <w:rPr>
          <w:rFonts w:hint="default" w:ascii="Times New Roman" w:hAnsi="Times New Roman" w:cs="Times New Roman"/>
          <w:color w:val="auto"/>
          <w:sz w:val="32"/>
          <w:szCs w:val="32"/>
        </w:rPr>
      </w:pPr>
      <w:r>
        <w:rPr>
          <w:rFonts w:hint="default" w:ascii="Times New Roman" w:hAnsi="Times New Roman" w:eastAsia="黑体" w:cs="Times New Roman"/>
          <w:bCs/>
          <w:color w:val="auto"/>
          <w:sz w:val="32"/>
          <w:szCs w:val="32"/>
        </w:rPr>
        <w:t>三、偏离绩效目标的原因和下一步改进措施</w:t>
      </w:r>
    </w:p>
    <w:p w14:paraId="0F6EEEB5">
      <w:pPr>
        <w:spacing w:line="360" w:lineRule="auto"/>
        <w:ind w:firstLine="640" w:firstLineChars="200"/>
        <w:rPr>
          <w:rFonts w:hint="eastAsia"/>
          <w:sz w:val="32"/>
          <w:szCs w:val="32"/>
        </w:rPr>
      </w:pP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eastAsia"/>
          <w:sz w:val="32"/>
          <w:szCs w:val="32"/>
          <w:lang w:eastAsia="zh-CN"/>
        </w:rPr>
        <w:t>2024年</w:t>
      </w:r>
      <w:r>
        <w:rPr>
          <w:sz w:val="32"/>
          <w:szCs w:val="32"/>
        </w:rPr>
        <w:t>我市中央</w:t>
      </w:r>
      <w:r>
        <w:rPr>
          <w:sz w:val="32"/>
          <w:szCs w:val="32"/>
          <w:lang w:val="zh-TW"/>
        </w:rPr>
        <w:t>专项彩票公益金</w:t>
      </w:r>
      <w:r>
        <w:rPr>
          <w:sz w:val="32"/>
          <w:szCs w:val="32"/>
        </w:rPr>
        <w:t>转移支付</w:t>
      </w:r>
      <w:r>
        <w:rPr>
          <w:rFonts w:hint="eastAsia"/>
          <w:sz w:val="32"/>
          <w:szCs w:val="32"/>
        </w:rPr>
        <w:t>偏离</w:t>
      </w:r>
      <w:r>
        <w:rPr>
          <w:sz w:val="32"/>
          <w:szCs w:val="32"/>
        </w:rPr>
        <w:t>绩效目标</w:t>
      </w:r>
      <w:r>
        <w:rPr>
          <w:rFonts w:hint="eastAsia"/>
          <w:sz w:val="32"/>
          <w:szCs w:val="32"/>
        </w:rPr>
        <w:t>的主要原因</w:t>
      </w:r>
      <w:r>
        <w:rPr>
          <w:rFonts w:hint="eastAsia"/>
          <w:sz w:val="32"/>
          <w:szCs w:val="32"/>
          <w:lang w:eastAsia="zh-CN"/>
        </w:rPr>
        <w:t>：一是滨海新区汉沽体育场维修改造项目资金来源全部为中央转移支付，前期设计所需资金与实际批复有差异，需要重新调整项目设计，以及项目公开招投标、施工、监理合同签订等都需要时间，耽误了该项目当年的执行进度。二是</w:t>
      </w:r>
      <w:r>
        <w:rPr>
          <w:rFonts w:hint="eastAsia"/>
          <w:sz w:val="32"/>
          <w:szCs w:val="32"/>
        </w:rPr>
        <w:t>宁河区因可用财力不足，收支矛盾问题突出，财政预算平衡难度较大，调度资金困难，导致当年未拨付资金。2025年，宁河区已提前谋划，根据财政“三保”支出顺序，积极筹措资金，减少各项审批程序，结合财力及库款情况，逐步安排资金拨付，加快项目资金支付进度。</w:t>
      </w:r>
    </w:p>
    <w:p w14:paraId="0D8C0636">
      <w:pPr>
        <w:snapToGrid w:val="0"/>
        <w:spacing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四、绩效自评结果拟应用和公开情况</w:t>
      </w:r>
    </w:p>
    <w:p w14:paraId="32C925EE">
      <w:pPr>
        <w:spacing w:line="520" w:lineRule="exact"/>
        <w:ind w:firstLine="598" w:firstLineChars="187"/>
        <w:jc w:val="left"/>
        <w:rPr>
          <w:rFonts w:eastAsia="仿宋"/>
          <w:sz w:val="32"/>
          <w:szCs w:val="32"/>
        </w:rPr>
      </w:pPr>
      <w:r>
        <w:rPr>
          <w:sz w:val="32"/>
          <w:szCs w:val="32"/>
        </w:rPr>
        <w:t>总体来看，</w:t>
      </w:r>
      <w:r>
        <w:rPr>
          <w:sz w:val="32"/>
          <w:szCs w:val="32"/>
          <w:lang w:val="zh-TW"/>
        </w:rPr>
        <w:t>中央专项彩票公益金支持地方社会公益发展项目资金</w:t>
      </w:r>
      <w:r>
        <w:rPr>
          <w:rFonts w:hint="eastAsia"/>
          <w:sz w:val="32"/>
          <w:szCs w:val="32"/>
          <w:lang w:val="zh-TW"/>
        </w:rPr>
        <w:t>除了未形成实际支付外，</w:t>
      </w:r>
      <w:r>
        <w:rPr>
          <w:sz w:val="32"/>
          <w:szCs w:val="32"/>
        </w:rPr>
        <w:t>基本达到预期目标并</w:t>
      </w:r>
      <w:r>
        <w:rPr>
          <w:rFonts w:hint="eastAsia"/>
          <w:sz w:val="32"/>
          <w:szCs w:val="32"/>
        </w:rPr>
        <w:t>实现了既定</w:t>
      </w:r>
      <w:r>
        <w:rPr>
          <w:sz w:val="32"/>
          <w:szCs w:val="32"/>
        </w:rPr>
        <w:t>效果。下一步，</w:t>
      </w:r>
      <w:r>
        <w:rPr>
          <w:rFonts w:hint="eastAsia"/>
          <w:sz w:val="32"/>
          <w:szCs w:val="32"/>
        </w:rPr>
        <w:t>天津市财政局和市体育局</w:t>
      </w:r>
      <w:r>
        <w:rPr>
          <w:sz w:val="32"/>
          <w:szCs w:val="32"/>
        </w:rPr>
        <w:t>将督促整改绩效自评中发现的问题。同时，此次绩效自评结果，将作为以后年度</w:t>
      </w:r>
      <w:r>
        <w:rPr>
          <w:rFonts w:hint="eastAsia"/>
          <w:sz w:val="32"/>
          <w:szCs w:val="32"/>
          <w:lang w:eastAsia="zh-CN"/>
        </w:rPr>
        <w:t>相关各区</w:t>
      </w:r>
      <w:r>
        <w:rPr>
          <w:sz w:val="32"/>
          <w:szCs w:val="32"/>
        </w:rPr>
        <w:t>申请和安排资金的重要参考。绩效自评工作结束后，我们将对中央</w:t>
      </w:r>
      <w:r>
        <w:rPr>
          <w:sz w:val="32"/>
          <w:szCs w:val="32"/>
          <w:lang w:val="zh-TW"/>
        </w:rPr>
        <w:t>专项彩票公益金</w:t>
      </w:r>
      <w:r>
        <w:rPr>
          <w:sz w:val="32"/>
          <w:szCs w:val="32"/>
        </w:rPr>
        <w:t>转移支付的绩效自评结果进行集中公开，接受公众监督。</w:t>
      </w:r>
    </w:p>
    <w:p w14:paraId="68FC78E5">
      <w:pPr>
        <w:snapToGrid w:val="0"/>
        <w:spacing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五、其他需要说明的问题</w:t>
      </w:r>
    </w:p>
    <w:p w14:paraId="0B01CF29">
      <w:pPr>
        <w:spacing w:line="360" w:lineRule="auto"/>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无。</w:t>
      </w:r>
    </w:p>
    <w:p w14:paraId="149AFCEC">
      <w:pPr>
        <w:snapToGrid w:val="0"/>
        <w:spacing w:line="580" w:lineRule="exact"/>
        <w:ind w:firstLine="640" w:firstLineChars="200"/>
        <w:rPr>
          <w:rFonts w:hint="default" w:ascii="Times New Roman" w:hAnsi="Times New Roman" w:eastAsia="黑体" w:cs="Times New Roman"/>
          <w:color w:val="auto"/>
          <w:sz w:val="32"/>
          <w:szCs w:val="32"/>
          <w:lang w:val="en"/>
        </w:rPr>
      </w:pPr>
      <w:r>
        <w:rPr>
          <w:rFonts w:hint="eastAsia" w:eastAsia="黑体" w:cs="Times New Roman"/>
          <w:color w:val="auto"/>
          <w:sz w:val="32"/>
          <w:szCs w:val="32"/>
          <w:lang w:val="en" w:eastAsia="zh-CN"/>
        </w:rPr>
        <w:t>六</w:t>
      </w:r>
      <w:r>
        <w:rPr>
          <w:rFonts w:hint="default" w:ascii="Times New Roman" w:hAnsi="Times New Roman" w:eastAsia="黑体" w:cs="Times New Roman"/>
          <w:color w:val="auto"/>
          <w:sz w:val="32"/>
          <w:szCs w:val="32"/>
          <w:lang w:val="en"/>
        </w:rPr>
        <w:t>、附件</w:t>
      </w:r>
    </w:p>
    <w:p w14:paraId="04933601">
      <w:pPr>
        <w:spacing w:line="360" w:lineRule="auto"/>
        <w:ind w:firstLine="640" w:firstLineChars="200"/>
        <w:rPr>
          <w:rFonts w:hint="default" w:ascii="Times New Roman" w:hAnsi="Times New Roman" w:cs="Times New Roman"/>
          <w:sz w:val="32"/>
          <w:szCs w:val="32"/>
          <w:lang w:val="en" w:eastAsia="zh-CN"/>
        </w:rPr>
      </w:pPr>
      <w:r>
        <w:rPr>
          <w:rFonts w:hint="eastAsia" w:cs="Times New Roman"/>
          <w:sz w:val="32"/>
          <w:szCs w:val="32"/>
          <w:lang w:val="en-US" w:eastAsia="zh-CN"/>
        </w:rPr>
        <w:t>2024年</w:t>
      </w:r>
      <w:r>
        <w:rPr>
          <w:rFonts w:hint="default" w:ascii="Times New Roman" w:hAnsi="Times New Roman" w:cs="Times New Roman"/>
          <w:sz w:val="32"/>
          <w:szCs w:val="32"/>
          <w:lang w:val="en-US" w:eastAsia="zh-CN"/>
        </w:rPr>
        <w:t>度中央专项彩票公益金支持地方社会公益事业发展资金转移支付绩效目标自评表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NWRkMDJkZGFmMmExYmEzZjBjMzE0NjUxYWZjNz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91332"/>
    <w:rsid w:val="007D7E6E"/>
    <w:rsid w:val="00850797"/>
    <w:rsid w:val="00853FC4"/>
    <w:rsid w:val="008720F1"/>
    <w:rsid w:val="00882EFA"/>
    <w:rsid w:val="008A5019"/>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074F"/>
    <w:rsid w:val="00F91EAE"/>
    <w:rsid w:val="00FA086C"/>
    <w:rsid w:val="00FA2093"/>
    <w:rsid w:val="00FA357A"/>
    <w:rsid w:val="012E5070"/>
    <w:rsid w:val="030E7406"/>
    <w:rsid w:val="03507866"/>
    <w:rsid w:val="037D0BC8"/>
    <w:rsid w:val="05B41672"/>
    <w:rsid w:val="0845082D"/>
    <w:rsid w:val="09655C6E"/>
    <w:rsid w:val="09E965F2"/>
    <w:rsid w:val="0FF7AA4F"/>
    <w:rsid w:val="139840D3"/>
    <w:rsid w:val="143E091F"/>
    <w:rsid w:val="14865FC8"/>
    <w:rsid w:val="14A6554C"/>
    <w:rsid w:val="14DE7322"/>
    <w:rsid w:val="150C2DB0"/>
    <w:rsid w:val="167A0481"/>
    <w:rsid w:val="1A7D29EA"/>
    <w:rsid w:val="1BC25F36"/>
    <w:rsid w:val="1BCE3CFB"/>
    <w:rsid w:val="1D994BCF"/>
    <w:rsid w:val="1E761F05"/>
    <w:rsid w:val="1F7BE1E6"/>
    <w:rsid w:val="1F8F25D3"/>
    <w:rsid w:val="1FC7205C"/>
    <w:rsid w:val="219519F6"/>
    <w:rsid w:val="228B3D05"/>
    <w:rsid w:val="284E74F8"/>
    <w:rsid w:val="295C2DFA"/>
    <w:rsid w:val="29B15A19"/>
    <w:rsid w:val="2ADB48E8"/>
    <w:rsid w:val="2C697D08"/>
    <w:rsid w:val="2FABEA16"/>
    <w:rsid w:val="36687282"/>
    <w:rsid w:val="367793B2"/>
    <w:rsid w:val="3794FC37"/>
    <w:rsid w:val="38EF7AD8"/>
    <w:rsid w:val="39F95677"/>
    <w:rsid w:val="3E1672E6"/>
    <w:rsid w:val="3EB9C2BB"/>
    <w:rsid w:val="3FEF6A07"/>
    <w:rsid w:val="415F08D8"/>
    <w:rsid w:val="44E2230F"/>
    <w:rsid w:val="47B85222"/>
    <w:rsid w:val="48B51347"/>
    <w:rsid w:val="491B45FA"/>
    <w:rsid w:val="4A55216A"/>
    <w:rsid w:val="4B95246F"/>
    <w:rsid w:val="4FE0696A"/>
    <w:rsid w:val="51CD2963"/>
    <w:rsid w:val="52893824"/>
    <w:rsid w:val="543670AA"/>
    <w:rsid w:val="546F8569"/>
    <w:rsid w:val="55673508"/>
    <w:rsid w:val="582F1556"/>
    <w:rsid w:val="59595A6F"/>
    <w:rsid w:val="597350B8"/>
    <w:rsid w:val="599330CA"/>
    <w:rsid w:val="5A7FCB1F"/>
    <w:rsid w:val="5B833E4F"/>
    <w:rsid w:val="5FEAF7C9"/>
    <w:rsid w:val="60D5009F"/>
    <w:rsid w:val="63925E12"/>
    <w:rsid w:val="64AC2E11"/>
    <w:rsid w:val="660721C9"/>
    <w:rsid w:val="661E6C75"/>
    <w:rsid w:val="66DF4F02"/>
    <w:rsid w:val="67F75FF5"/>
    <w:rsid w:val="681D4831"/>
    <w:rsid w:val="692E4B19"/>
    <w:rsid w:val="69513EF7"/>
    <w:rsid w:val="6B7BA1B9"/>
    <w:rsid w:val="6BF3256F"/>
    <w:rsid w:val="6CA95F92"/>
    <w:rsid w:val="6CE7018A"/>
    <w:rsid w:val="6E3E3F2D"/>
    <w:rsid w:val="6FD70453"/>
    <w:rsid w:val="715B2F02"/>
    <w:rsid w:val="71952C23"/>
    <w:rsid w:val="76A548F2"/>
    <w:rsid w:val="7765772E"/>
    <w:rsid w:val="776F5E62"/>
    <w:rsid w:val="77867685"/>
    <w:rsid w:val="77D3F1CC"/>
    <w:rsid w:val="77EE7FE7"/>
    <w:rsid w:val="781F36B6"/>
    <w:rsid w:val="790627AD"/>
    <w:rsid w:val="79DFF8C4"/>
    <w:rsid w:val="7ADC59FA"/>
    <w:rsid w:val="7AFF2FC3"/>
    <w:rsid w:val="7BF6B4C5"/>
    <w:rsid w:val="7D2E0742"/>
    <w:rsid w:val="7DDD794F"/>
    <w:rsid w:val="7DFA6624"/>
    <w:rsid w:val="7DFD8AD7"/>
    <w:rsid w:val="7DFEFB95"/>
    <w:rsid w:val="7DFFBAB3"/>
    <w:rsid w:val="7ECD6B9A"/>
    <w:rsid w:val="7FBA576D"/>
    <w:rsid w:val="7FD3DFBC"/>
    <w:rsid w:val="7FDE47D5"/>
    <w:rsid w:val="7FFD003D"/>
    <w:rsid w:val="94BFC172"/>
    <w:rsid w:val="9BFA614C"/>
    <w:rsid w:val="9FFB819E"/>
    <w:rsid w:val="B5755214"/>
    <w:rsid w:val="BAFE1E17"/>
    <w:rsid w:val="BBDF5B5A"/>
    <w:rsid w:val="BBE428C2"/>
    <w:rsid w:val="BFBF52D7"/>
    <w:rsid w:val="DF6E82F1"/>
    <w:rsid w:val="DF9FEBF4"/>
    <w:rsid w:val="DFCEE0CE"/>
    <w:rsid w:val="DFD974A1"/>
    <w:rsid w:val="DFFF7077"/>
    <w:rsid w:val="EEBF76D9"/>
    <w:rsid w:val="F36EF6AC"/>
    <w:rsid w:val="F6FDCC0E"/>
    <w:rsid w:val="F767D450"/>
    <w:rsid w:val="F76FB1DB"/>
    <w:rsid w:val="F7FBEBBF"/>
    <w:rsid w:val="F9F3FBF0"/>
    <w:rsid w:val="FB561974"/>
    <w:rsid w:val="FB9F8FA2"/>
    <w:rsid w:val="FDB5389F"/>
    <w:rsid w:val="FDBF866F"/>
    <w:rsid w:val="FDFBBE3E"/>
    <w:rsid w:val="FF7F5B81"/>
    <w:rsid w:val="FFAFB80B"/>
    <w:rsid w:val="FFF90E8F"/>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qFormat/>
    <w:uiPriority w:val="0"/>
    <w:rPr>
      <w:sz w:val="18"/>
      <w:szCs w:val="18"/>
    </w:rPr>
  </w:style>
  <w:style w:type="paragraph" w:styleId="4">
    <w:name w:val="footer"/>
    <w:basedOn w:val="1"/>
    <w:link w:val="8"/>
    <w:autoRedefine/>
    <w:qFormat/>
    <w:uiPriority w:val="99"/>
    <w:pPr>
      <w:tabs>
        <w:tab w:val="center" w:pos="4153"/>
        <w:tab w:val="right" w:pos="8306"/>
      </w:tabs>
      <w:snapToGrid w:val="0"/>
      <w:jc w:val="left"/>
    </w:pPr>
    <w:rPr>
      <w:sz w:val="18"/>
      <w:szCs w:val="18"/>
    </w:rPr>
  </w:style>
  <w:style w:type="character" w:styleId="7">
    <w:name w:val="Strong"/>
    <w:basedOn w:val="6"/>
    <w:autoRedefine/>
    <w:qFormat/>
    <w:uiPriority w:val="0"/>
    <w:rPr>
      <w:b/>
      <w:bCs/>
    </w:rPr>
  </w:style>
  <w:style w:type="character" w:customStyle="1" w:styleId="8">
    <w:name w:val="页脚 Char"/>
    <w:basedOn w:val="6"/>
    <w:link w:val="4"/>
    <w:autoRedefine/>
    <w:qFormat/>
    <w:uiPriority w:val="99"/>
    <w:rPr>
      <w:rFonts w:eastAsia="仿宋_GB2312"/>
      <w:kern w:val="2"/>
      <w:sz w:val="18"/>
      <w:szCs w:val="18"/>
    </w:rPr>
  </w:style>
  <w:style w:type="character" w:customStyle="1" w:styleId="9">
    <w:name w:val="页眉 Char"/>
    <w:basedOn w:val="6"/>
    <w:link w:val="2"/>
    <w:autoRedefine/>
    <w:qFormat/>
    <w:uiPriority w:val="0"/>
    <w:rPr>
      <w:rFonts w:eastAsia="仿宋_GB2312"/>
      <w:kern w:val="2"/>
      <w:sz w:val="18"/>
      <w:szCs w:val="18"/>
    </w:rPr>
  </w:style>
  <w:style w:type="character" w:customStyle="1" w:styleId="10">
    <w:name w:val="批注框文本 Char"/>
    <w:basedOn w:val="6"/>
    <w:link w:val="3"/>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2529</Words>
  <Characters>2657</Characters>
  <Lines>7</Lines>
  <Paragraphs>2</Paragraphs>
  <TotalTime>1</TotalTime>
  <ScaleCrop>false</ScaleCrop>
  <LinksUpToDate>false</LinksUpToDate>
  <CharactersWithSpaces>2661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2023-04-26T13:14:00Z</dcterms:created>
  <dc:creator>lhn</dc:creator>
  <cp:lastModifiedBy>笑看人生</cp:lastModifiedBy>
  <cp:lastPrinted>2023-03-25T15:06:00Z</cp:lastPrinted>
  <dcterms:modified xsi:type="dcterms:W3CDTF">2025-06-25T03:26:37Z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39FB96A0E7D44AF5A569F6CA686B31D1_13</vt:lpwstr>
  </property>
  <property fmtid="{D5CDD505-2E9C-101B-9397-08002B2CF9AE}" pid="4" name="KSOTemplateDocerSaveRecord">
    <vt:lpwstr>eyJoZGlkIjoiYjU2NWRkMDJkZGFmMmExYmEzZjBjMzE0NjUxYWZjNzYiLCJ1c2VySWQiOiI0OTI2MDg0OTgifQ==</vt:lpwstr>
  </property>
</Properties>
</file>